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74E" w:rsidRDefault="00F7701E">
      <w:pPr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</w:p>
    <w:p w:rsidR="008E774E" w:rsidRDefault="008E774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774E" w:rsidRDefault="008E774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774E" w:rsidRDefault="008E774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774E" w:rsidRDefault="008E774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774E" w:rsidRDefault="008E774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774E" w:rsidRDefault="008E774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774E" w:rsidRDefault="008E774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774E" w:rsidRDefault="008E774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774E" w:rsidRDefault="008E774E">
      <w:pPr>
        <w:spacing w:line="12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774E" w:rsidRDefault="00F7701E">
      <w:pPr>
        <w:spacing w:line="12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Методика </w:t>
      </w:r>
    </w:p>
    <w:p w:rsidR="008E774E" w:rsidRDefault="00F7701E">
      <w:pPr>
        <w:spacing w:line="12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консолидации финансовой отчетности Группы связанных компаний</w:t>
      </w:r>
    </w:p>
    <w:p w:rsidR="008E774E" w:rsidRDefault="00F7701E">
      <w:pPr>
        <w:spacing w:line="12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 w:clear="all"/>
      </w:r>
    </w:p>
    <w:p w:rsidR="008E774E" w:rsidRDefault="00F7701E">
      <w:pPr>
        <w:spacing w:line="283" w:lineRule="atLeast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Содержание</w:t>
      </w:r>
    </w:p>
    <w:p w:rsidR="008E774E" w:rsidRDefault="00F7701E">
      <w:pPr>
        <w:spacing w:line="283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Термины, определения и сокращения.</w:t>
      </w:r>
    </w:p>
    <w:p w:rsidR="008E774E" w:rsidRDefault="00F7701E">
      <w:pPr>
        <w:spacing w:line="283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Общие положения.</w:t>
      </w:r>
    </w:p>
    <w:p w:rsidR="008E774E" w:rsidRDefault="00F7701E">
      <w:pPr>
        <w:spacing w:line="283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Нормативная база.</w:t>
      </w:r>
    </w:p>
    <w:p w:rsidR="008E774E" w:rsidRDefault="00F7701E">
      <w:pPr>
        <w:spacing w:line="283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sz w:val="24"/>
          <w:szCs w:val="24"/>
        </w:rPr>
        <w:t>Источники информации для формирования КФО ГСК.</w:t>
      </w:r>
    </w:p>
    <w:p w:rsidR="008E774E" w:rsidRDefault="00F7701E">
      <w:pPr>
        <w:spacing w:line="283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Принципы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построения  КФО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ГСК.</w:t>
      </w:r>
    </w:p>
    <w:p w:rsidR="008E774E" w:rsidRDefault="008E774E">
      <w:pPr>
        <w:spacing w:line="283" w:lineRule="atLeast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E774E" w:rsidRDefault="008E774E">
      <w:pPr>
        <w:spacing w:line="283" w:lineRule="atLeast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E774E" w:rsidRDefault="008E774E">
      <w:pPr>
        <w:spacing w:line="283" w:lineRule="atLeast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E774E" w:rsidRDefault="00F7701E">
      <w:pPr>
        <w:spacing w:line="283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Приложение:</w:t>
      </w:r>
    </w:p>
    <w:p w:rsidR="008E774E" w:rsidRDefault="00F7701E">
      <w:pPr>
        <w:pStyle w:val="afa"/>
        <w:numPr>
          <w:ilvl w:val="0"/>
          <w:numId w:val="2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1 «</w:t>
      </w:r>
      <w:r>
        <w:rPr>
          <w:rFonts w:ascii="Times New Roman" w:eastAsia="Times New Roman" w:hAnsi="Times New Roman" w:cs="Times New Roman"/>
          <w:sz w:val="24"/>
          <w:szCs w:val="24"/>
        </w:rPr>
        <w:t>Перечень статей бухгалтерского баланса и счетов учета, участвующих в исключении остатков внутригрупповых операций»</w:t>
      </w:r>
    </w:p>
    <w:p w:rsidR="008E774E" w:rsidRDefault="00F7701E">
      <w:pPr>
        <w:pStyle w:val="afa"/>
        <w:numPr>
          <w:ilvl w:val="0"/>
          <w:numId w:val="2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2 «</w:t>
      </w:r>
      <w:r>
        <w:rPr>
          <w:rFonts w:ascii="Times New Roman" w:eastAsia="Times New Roman" w:hAnsi="Times New Roman" w:cs="Times New Roman"/>
          <w:sz w:val="24"/>
          <w:szCs w:val="24"/>
        </w:rPr>
        <w:t>Перечень статей отчета о финансовых результатах и счетов учета, учас</w:t>
      </w:r>
      <w:r>
        <w:rPr>
          <w:rFonts w:ascii="Times New Roman" w:eastAsia="Times New Roman" w:hAnsi="Times New Roman" w:cs="Times New Roman"/>
          <w:sz w:val="24"/>
          <w:szCs w:val="24"/>
        </w:rPr>
        <w:t>твующих в исключении внутригрупповых оборотов».</w:t>
      </w:r>
    </w:p>
    <w:p w:rsidR="008E774E" w:rsidRDefault="008E774E">
      <w:pPr>
        <w:spacing w:line="283" w:lineRule="atLeast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E774E" w:rsidRDefault="008E774E">
      <w:pPr>
        <w:spacing w:line="283" w:lineRule="atLeast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E774E" w:rsidRDefault="008E774E">
      <w:pPr>
        <w:spacing w:line="283" w:lineRule="atLeast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E774E" w:rsidRDefault="008E774E">
      <w:pPr>
        <w:spacing w:line="283" w:lineRule="atLeast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E774E" w:rsidRDefault="008E774E">
      <w:pPr>
        <w:spacing w:line="283" w:lineRule="atLeast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E774E" w:rsidRDefault="00F7701E">
      <w:pPr>
        <w:spacing w:line="283" w:lineRule="atLeast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 w:clear="all"/>
      </w:r>
    </w:p>
    <w:p w:rsidR="008E774E" w:rsidRDefault="00F7701E">
      <w:pPr>
        <w:pStyle w:val="afa"/>
        <w:numPr>
          <w:ilvl w:val="0"/>
          <w:numId w:val="3"/>
        </w:numPr>
        <w:spacing w:line="28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Термины, определения и сокращения</w:t>
      </w:r>
    </w:p>
    <w:p w:rsidR="008E774E" w:rsidRDefault="00F7701E">
      <w:pPr>
        <w:spacing w:line="283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Альбом инструментов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Альбом инструментов и стандартов кредитования корпоративных клиентов АО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Россельхозбанк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(приказ Банка от 18.11.2015 № 942-ОД).</w:t>
      </w:r>
    </w:p>
    <w:p w:rsidR="008E774E" w:rsidRDefault="00F7701E">
      <w:pPr>
        <w:spacing w:line="283" w:lineRule="atLeast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Банк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– АО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Россельхозбанк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», включая головной офис Банка, РФ/дополнительные офисы;</w:t>
      </w:r>
    </w:p>
    <w:p w:rsidR="008E774E" w:rsidRDefault="00F7701E">
      <w:pPr>
        <w:tabs>
          <w:tab w:val="left" w:pos="1134"/>
          <w:tab w:val="left" w:pos="1276"/>
        </w:tabs>
        <w:spacing w:after="0" w:line="283" w:lineRule="atLeast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Группа компаний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(ГК)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соответствует понятию «Группа компаний (ГК)», используемому в Методике определения в АО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Россельхозбанк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» Группы связанных компаний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8E774E" w:rsidRDefault="008E774E">
      <w:pPr>
        <w:tabs>
          <w:tab w:val="left" w:pos="1134"/>
          <w:tab w:val="left" w:pos="1276"/>
        </w:tabs>
        <w:spacing w:after="0" w:line="283" w:lineRule="atLeast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</w:p>
    <w:p w:rsidR="008E774E" w:rsidRDefault="00F7701E">
      <w:pPr>
        <w:tabs>
          <w:tab w:val="left" w:pos="1134"/>
          <w:tab w:val="left" w:pos="1276"/>
        </w:tabs>
        <w:spacing w:after="0" w:line="283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Группа связанных компаний (ГСК)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соответствует  понятию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«Группа связанных компаний (ГСК)»,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используемому  в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Методике определения в АО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Россельхозбанк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Группы связанных компаний.</w:t>
      </w:r>
    </w:p>
    <w:p w:rsidR="008E774E" w:rsidRDefault="00F7701E">
      <w:pPr>
        <w:tabs>
          <w:tab w:val="left" w:pos="1134"/>
          <w:tab w:val="left" w:pos="1276"/>
        </w:tabs>
        <w:spacing w:after="0" w:line="283" w:lineRule="atLeast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E774E" w:rsidRDefault="00F7701E">
      <w:pPr>
        <w:pStyle w:val="310"/>
        <w:spacing w:line="283" w:lineRule="atLeast"/>
        <w:ind w:firstLine="0"/>
        <w:contextualSpacing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b/>
          <w:bCs/>
          <w:i w:val="0"/>
        </w:rPr>
        <w:t>Заемщик</w:t>
      </w:r>
      <w:r>
        <w:rPr>
          <w:rFonts w:ascii="Times New Roman" w:hAnsi="Times New Roman" w:cs="Times New Roman"/>
          <w:i w:val="0"/>
          <w:iCs w:val="0"/>
        </w:rPr>
        <w:t xml:space="preserve"> – соответствует понятию </w:t>
      </w:r>
      <w:proofErr w:type="gramStart"/>
      <w:r>
        <w:rPr>
          <w:rFonts w:ascii="Times New Roman" w:hAnsi="Times New Roman" w:cs="Times New Roman"/>
          <w:i w:val="0"/>
          <w:iCs w:val="0"/>
        </w:rPr>
        <w:t>« Заемщик</w:t>
      </w:r>
      <w:proofErr w:type="gramEnd"/>
      <w:r>
        <w:rPr>
          <w:rFonts w:ascii="Times New Roman" w:hAnsi="Times New Roman" w:cs="Times New Roman"/>
          <w:i w:val="0"/>
          <w:iCs w:val="0"/>
        </w:rPr>
        <w:t>», определенному «Инструкцией о п</w:t>
      </w:r>
      <w:r>
        <w:rPr>
          <w:rFonts w:ascii="Times New Roman" w:hAnsi="Times New Roman" w:cs="Times New Roman"/>
          <w:i w:val="0"/>
          <w:iCs w:val="0"/>
        </w:rPr>
        <w:t>орядке рассмотрения в АО «</w:t>
      </w:r>
      <w:proofErr w:type="spellStart"/>
      <w:r>
        <w:rPr>
          <w:rFonts w:ascii="Times New Roman" w:hAnsi="Times New Roman" w:cs="Times New Roman"/>
          <w:i w:val="0"/>
          <w:iCs w:val="0"/>
        </w:rPr>
        <w:t>Россельхозбанк</w:t>
      </w:r>
      <w:proofErr w:type="spellEnd"/>
      <w:r>
        <w:rPr>
          <w:rFonts w:ascii="Times New Roman" w:hAnsi="Times New Roman" w:cs="Times New Roman"/>
          <w:i w:val="0"/>
          <w:iCs w:val="0"/>
        </w:rPr>
        <w:t>» кредитных проектов на цели пополнения оборотных средств и инвестиционные цели № 1-И</w:t>
      </w:r>
      <w:r>
        <w:rPr>
          <w:rFonts w:ascii="Times New Roman" w:hAnsi="Times New Roman" w:cs="Times New Roman"/>
        </w:rPr>
        <w:t xml:space="preserve"> . </w:t>
      </w:r>
      <w:r>
        <w:rPr>
          <w:rFonts w:ascii="Times New Roman" w:hAnsi="Times New Roman" w:cs="Times New Roman"/>
          <w:i w:val="0"/>
          <w:iCs w:val="0"/>
        </w:rPr>
        <w:t xml:space="preserve"> Применительно к условиям настоящей Методики Заемщик может быть потенциальным или действующим клиентом Банка.</w:t>
      </w:r>
    </w:p>
    <w:p w:rsidR="008E774E" w:rsidRDefault="008E774E">
      <w:pPr>
        <w:tabs>
          <w:tab w:val="left" w:pos="567"/>
          <w:tab w:val="left" w:pos="1134"/>
        </w:tabs>
        <w:spacing w:after="0" w:line="283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774E" w:rsidRDefault="00F7701E">
      <w:pPr>
        <w:spacing w:after="0" w:line="283" w:lineRule="atLeast"/>
        <w:ind w:left="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Заключение подраз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деления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анализа  (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заключение ПА)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формат 2.03.01.01с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Альбома инструментов и стандартов кредитования корпоративных клиентов АО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Россельхозбанк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».</w:t>
      </w:r>
    </w:p>
    <w:p w:rsidR="008E774E" w:rsidRDefault="008E774E">
      <w:pPr>
        <w:spacing w:after="0" w:line="283" w:lineRule="atLeast"/>
        <w:ind w:left="3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</w:p>
    <w:p w:rsidR="008E774E" w:rsidRDefault="00F7701E">
      <w:pPr>
        <w:spacing w:line="283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Клиент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</w:rPr>
        <w:t>соответствует понятию «Клиент», определенному «Инструкцией о порядке рассмотрения в АО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Россельхозбанк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кредитных проектов на цели пополнения оборотных средств и инвестиционные цели № 1-И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E774E" w:rsidRDefault="008E774E">
      <w:pPr>
        <w:spacing w:line="283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774E" w:rsidRDefault="00F7701E">
      <w:pPr>
        <w:spacing w:line="283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Консолидированная финансовая отчетность ГСК (КФО ГСК) -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финансовая отчетность ГСК, представленная как финансовая отчетность единого хозяйствующего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субъекта, отражающая финансово хозяйственные отношения взаимосвязанных компаний группы только с третьими лицами (внешними контрагентами) и характеризует имущественное и финансовое положение ГСК на отчётную дату, а также финансовые результаты её деятельност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 за отчётный период.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Формат КФО ГСК в составе консолидированного бухгалтерского баланса и отчета о финансовых результатах,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соответствует  Приложениям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№№ 3 и 4 к ФСБУ 4/2023 утвержденным Приказом МФ РФ №157н.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.</w:t>
      </w:r>
    </w:p>
    <w:p w:rsidR="008E774E" w:rsidRDefault="008E774E">
      <w:pPr>
        <w:spacing w:line="283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774E" w:rsidRDefault="00F7701E">
      <w:pPr>
        <w:pStyle w:val="afa"/>
        <w:numPr>
          <w:ilvl w:val="0"/>
          <w:numId w:val="3"/>
        </w:numPr>
        <w:spacing w:line="28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Нормативная база.</w:t>
      </w:r>
    </w:p>
    <w:p w:rsidR="008E774E" w:rsidRDefault="00F7701E">
      <w:pPr>
        <w:pStyle w:val="92"/>
        <w:tabs>
          <w:tab w:val="clear" w:pos="1418"/>
          <w:tab w:val="left" w:pos="1134"/>
        </w:tabs>
        <w:spacing w:before="0" w:line="283" w:lineRule="atLeast"/>
        <w:ind w:firstLine="709"/>
        <w:contextualSpacing/>
        <w:outlineLvl w:val="9"/>
      </w:pPr>
      <w:r>
        <w:t>Методика консолидации финан</w:t>
      </w:r>
      <w:r>
        <w:t xml:space="preserve">совой отчетности Группы связанных </w:t>
      </w:r>
      <w:proofErr w:type="gramStart"/>
      <w:r>
        <w:t>компаний  АО</w:t>
      </w:r>
      <w:proofErr w:type="gramEnd"/>
      <w:r>
        <w:t xml:space="preserve"> «</w:t>
      </w:r>
      <w:proofErr w:type="spellStart"/>
      <w:r>
        <w:t>Россельхозбанк</w:t>
      </w:r>
      <w:proofErr w:type="spellEnd"/>
      <w:r>
        <w:t xml:space="preserve">» разработана в соответствии с требованиями действующего законодательства Российской Федерации, нормативными актами Банка России и внутренними документами Банка, в том числе на основе следующих </w:t>
      </w:r>
      <w:r>
        <w:t>документов:</w:t>
      </w:r>
    </w:p>
    <w:p w:rsidR="008E774E" w:rsidRDefault="00F7701E">
      <w:pPr>
        <w:pStyle w:val="13"/>
        <w:numPr>
          <w:ilvl w:val="0"/>
          <w:numId w:val="4"/>
        </w:numPr>
        <w:tabs>
          <w:tab w:val="num" w:pos="284"/>
          <w:tab w:val="left" w:pos="1134"/>
        </w:tabs>
        <w:spacing w:after="0" w:line="283" w:lineRule="atLeast"/>
        <w:contextualSpacing/>
        <w:jc w:val="both"/>
      </w:pPr>
      <w:r>
        <w:rPr>
          <w:rFonts w:eastAsia="Times New Roman"/>
        </w:rPr>
        <w:t>Альбом инструментов и стандартов кредитования корпоративных клиентов АО «</w:t>
      </w:r>
      <w:proofErr w:type="spellStart"/>
      <w:r>
        <w:rPr>
          <w:rFonts w:eastAsia="Times New Roman"/>
        </w:rPr>
        <w:t>Россельхозбанк</w:t>
      </w:r>
      <w:proofErr w:type="spellEnd"/>
      <w:r>
        <w:rPr>
          <w:rFonts w:eastAsia="Times New Roman"/>
        </w:rPr>
        <w:t xml:space="preserve">» (приказ Банка от 18.11.2015 № 942-ОД) (далее - </w:t>
      </w:r>
      <w:r>
        <w:rPr>
          <w:rFonts w:eastAsia="Times New Roman"/>
          <w:b/>
          <w:bCs/>
        </w:rPr>
        <w:t>Альбом инструментов</w:t>
      </w:r>
      <w:r>
        <w:rPr>
          <w:rFonts w:eastAsia="Times New Roman"/>
        </w:rPr>
        <w:t>);</w:t>
      </w:r>
    </w:p>
    <w:p w:rsidR="008E774E" w:rsidRDefault="00F7701E">
      <w:pPr>
        <w:pStyle w:val="13"/>
        <w:numPr>
          <w:ilvl w:val="0"/>
          <w:numId w:val="4"/>
        </w:numPr>
        <w:tabs>
          <w:tab w:val="num" w:pos="284"/>
          <w:tab w:val="left" w:pos="1134"/>
        </w:tabs>
        <w:spacing w:after="0" w:line="283" w:lineRule="atLeast"/>
        <w:contextualSpacing/>
        <w:jc w:val="both"/>
        <w:rPr>
          <w:rFonts w:eastAsia="Times New Roman"/>
        </w:rPr>
      </w:pPr>
      <w:r>
        <w:rPr>
          <w:rFonts w:eastAsia="Times New Roman"/>
        </w:rPr>
        <w:t>Инструкция о порядке рассмотрения в АО «</w:t>
      </w:r>
      <w:proofErr w:type="spellStart"/>
      <w:r>
        <w:rPr>
          <w:rFonts w:eastAsia="Times New Roman"/>
        </w:rPr>
        <w:t>Россельхозбанк</w:t>
      </w:r>
      <w:proofErr w:type="spellEnd"/>
      <w:r>
        <w:rPr>
          <w:rFonts w:eastAsia="Times New Roman"/>
        </w:rPr>
        <w:t>» кредитных проектов на цели пополнения оборотных средств и инвестиционные цели № 1-И (приказ АО «</w:t>
      </w:r>
      <w:proofErr w:type="spellStart"/>
      <w:r>
        <w:rPr>
          <w:rFonts w:eastAsia="Times New Roman"/>
        </w:rPr>
        <w:t>Россельхозбанк</w:t>
      </w:r>
      <w:proofErr w:type="spellEnd"/>
      <w:r>
        <w:rPr>
          <w:rFonts w:eastAsia="Times New Roman"/>
        </w:rPr>
        <w:t xml:space="preserve">» от 21.01.2022 №86-ОД) (далее – 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Инструкция № 1</w:t>
      </w:r>
      <w:r>
        <w:rPr>
          <w:rFonts w:eastAsia="Times New Roman"/>
          <w:b/>
          <w:bCs/>
        </w:rPr>
        <w:noBreakHyphen/>
        <w:t>И</w:t>
      </w:r>
      <w:r>
        <w:rPr>
          <w:rFonts w:eastAsia="Times New Roman"/>
        </w:rPr>
        <w:t xml:space="preserve">); </w:t>
      </w:r>
    </w:p>
    <w:p w:rsidR="008E774E" w:rsidRDefault="00F7701E">
      <w:pPr>
        <w:pStyle w:val="13"/>
        <w:numPr>
          <w:ilvl w:val="0"/>
          <w:numId w:val="4"/>
        </w:numPr>
        <w:tabs>
          <w:tab w:val="num" w:pos="284"/>
          <w:tab w:val="left" w:pos="1134"/>
        </w:tabs>
        <w:spacing w:after="0" w:line="283" w:lineRule="atLeast"/>
        <w:contextualSpacing/>
        <w:jc w:val="both"/>
      </w:pPr>
      <w:r>
        <w:rPr>
          <w:rFonts w:eastAsia="Times New Roman"/>
        </w:rPr>
        <w:t xml:space="preserve">Порядок </w:t>
      </w:r>
      <w:r>
        <w:rPr>
          <w:rFonts w:eastAsia="Times New Roman"/>
          <w:bCs/>
        </w:rPr>
        <w:t>сопровождения кредитных сделок юридических лиц и индивидуальных предпринимателей в</w:t>
      </w:r>
      <w:r>
        <w:rPr>
          <w:rFonts w:eastAsia="Times New Roman"/>
          <w:bCs/>
        </w:rPr>
        <w:t xml:space="preserve"> АО «</w:t>
      </w:r>
      <w:proofErr w:type="spellStart"/>
      <w:r>
        <w:rPr>
          <w:rFonts w:eastAsia="Times New Roman"/>
          <w:bCs/>
        </w:rPr>
        <w:t>Россельхозбанк</w:t>
      </w:r>
      <w:proofErr w:type="spellEnd"/>
      <w:r>
        <w:rPr>
          <w:rFonts w:eastAsia="Times New Roman"/>
          <w:bCs/>
        </w:rPr>
        <w:t xml:space="preserve">» </w:t>
      </w:r>
      <w:r>
        <w:rPr>
          <w:rFonts w:eastAsia="Times New Roman"/>
        </w:rPr>
        <w:t xml:space="preserve">№ 515-П (далее – </w:t>
      </w:r>
      <w:r>
        <w:rPr>
          <w:rFonts w:eastAsia="Times New Roman"/>
          <w:b/>
          <w:bCs/>
        </w:rPr>
        <w:t>Порядок № 515-П</w:t>
      </w:r>
      <w:r>
        <w:rPr>
          <w:rFonts w:eastAsia="Times New Roman"/>
        </w:rPr>
        <w:t>);</w:t>
      </w:r>
    </w:p>
    <w:p w:rsidR="008E774E" w:rsidRDefault="00F7701E">
      <w:pPr>
        <w:pStyle w:val="13"/>
        <w:numPr>
          <w:ilvl w:val="0"/>
          <w:numId w:val="4"/>
        </w:numPr>
        <w:tabs>
          <w:tab w:val="num" w:pos="284"/>
          <w:tab w:val="left" w:pos="1134"/>
        </w:tabs>
        <w:spacing w:after="0" w:line="283" w:lineRule="atLeast"/>
        <w:contextualSpacing/>
        <w:jc w:val="both"/>
      </w:pPr>
      <w:r>
        <w:rPr>
          <w:rFonts w:eastAsia="Times New Roman"/>
        </w:rPr>
        <w:t xml:space="preserve">Методика анализа и оценки финансового состояния заемщиков </w:t>
      </w:r>
      <w:r>
        <w:rPr>
          <w:rFonts w:eastAsia="Times New Roman"/>
        </w:rPr>
        <w:br/>
        <w:t>АО «</w:t>
      </w:r>
      <w:proofErr w:type="spellStart"/>
      <w:r>
        <w:rPr>
          <w:rFonts w:eastAsia="Times New Roman"/>
        </w:rPr>
        <w:t>Россельхозбанк</w:t>
      </w:r>
      <w:proofErr w:type="spellEnd"/>
      <w:r>
        <w:rPr>
          <w:rFonts w:eastAsia="Times New Roman"/>
        </w:rPr>
        <w:t xml:space="preserve">» с учетом их отраслевых особенностей и особенностей </w:t>
      </w:r>
      <w:r>
        <w:rPr>
          <w:rFonts w:eastAsia="Times New Roman"/>
        </w:rPr>
        <w:lastRenderedPageBreak/>
        <w:t>организационно-правовой формы (приказ Банка от 17.05.2012 № 246-ОД)(да</w:t>
      </w:r>
      <w:r>
        <w:rPr>
          <w:rFonts w:eastAsia="Times New Roman"/>
        </w:rPr>
        <w:t xml:space="preserve">лее - </w:t>
      </w:r>
      <w:r>
        <w:rPr>
          <w:rFonts w:eastAsia="Times New Roman"/>
          <w:b/>
          <w:bCs/>
        </w:rPr>
        <w:t>Методика анализа и оценки</w:t>
      </w:r>
      <w:r>
        <w:rPr>
          <w:rFonts w:eastAsia="Times New Roman"/>
        </w:rPr>
        <w:t>);</w:t>
      </w:r>
    </w:p>
    <w:p w:rsidR="008E774E" w:rsidRDefault="00F7701E">
      <w:pPr>
        <w:pStyle w:val="13"/>
        <w:numPr>
          <w:ilvl w:val="0"/>
          <w:numId w:val="4"/>
        </w:numPr>
        <w:tabs>
          <w:tab w:val="num" w:pos="284"/>
          <w:tab w:val="left" w:pos="1134"/>
        </w:tabs>
        <w:spacing w:after="0" w:line="283" w:lineRule="atLeast"/>
        <w:contextualSpacing/>
        <w:jc w:val="both"/>
      </w:pPr>
      <w:r>
        <w:rPr>
          <w:rFonts w:eastAsia="Times New Roman"/>
        </w:rPr>
        <w:t>Методика определения в АО «</w:t>
      </w:r>
      <w:proofErr w:type="spellStart"/>
      <w:r>
        <w:rPr>
          <w:rFonts w:eastAsia="Times New Roman"/>
        </w:rPr>
        <w:t>Россельхозбанк</w:t>
      </w:r>
      <w:proofErr w:type="spellEnd"/>
      <w:r>
        <w:rPr>
          <w:rFonts w:eastAsia="Times New Roman"/>
        </w:rPr>
        <w:t xml:space="preserve">» Группы связанных компаний </w:t>
      </w:r>
      <w:r>
        <w:rPr>
          <w:rFonts w:eastAsia="Times New Roman"/>
          <w:color w:val="000000" w:themeColor="text1"/>
          <w:highlight w:val="white"/>
        </w:rPr>
        <w:t>(приказ Банка от 21.04.2016 №276-</w:t>
      </w:r>
      <w:proofErr w:type="gramStart"/>
      <w:r>
        <w:rPr>
          <w:rFonts w:eastAsia="Times New Roman"/>
          <w:color w:val="000000" w:themeColor="text1"/>
          <w:highlight w:val="white"/>
        </w:rPr>
        <w:t>ОД)</w:t>
      </w:r>
      <w:r>
        <w:rPr>
          <w:rFonts w:eastAsia="Times New Roman"/>
        </w:rPr>
        <w:t>(</w:t>
      </w:r>
      <w:proofErr w:type="gramEnd"/>
      <w:r>
        <w:rPr>
          <w:rFonts w:eastAsia="Times New Roman"/>
        </w:rPr>
        <w:t xml:space="preserve"> далее - </w:t>
      </w:r>
      <w:r>
        <w:rPr>
          <w:rFonts w:eastAsia="Times New Roman"/>
          <w:b/>
          <w:bCs/>
        </w:rPr>
        <w:t>Методика ГСК</w:t>
      </w:r>
      <w:r>
        <w:rPr>
          <w:rFonts w:eastAsia="Times New Roman"/>
        </w:rPr>
        <w:t>).</w:t>
      </w:r>
    </w:p>
    <w:p w:rsidR="008E774E" w:rsidRDefault="00F7701E">
      <w:pPr>
        <w:pStyle w:val="afa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ФСБУ 4/2023 Приказ Министерства финансов РФ от 04.10.2023№157н. «Об утверждении Федерального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Стандарта бухгалтерского учета ФСБУ 4/2023» Бухгалтерская (финансовая) отчетность» (далее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Приказ МФ РФ 157н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).(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при внесении изменений/замещении/переиздании - документ применяется в его актуальной версии).</w:t>
      </w:r>
    </w:p>
    <w:p w:rsidR="008E774E" w:rsidRDefault="008E774E">
      <w:pPr>
        <w:spacing w:line="283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774E" w:rsidRDefault="00F7701E">
      <w:pPr>
        <w:pStyle w:val="afa"/>
        <w:numPr>
          <w:ilvl w:val="0"/>
          <w:numId w:val="3"/>
        </w:numPr>
        <w:spacing w:line="28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Общие положения.</w:t>
      </w:r>
    </w:p>
    <w:p w:rsidR="008E774E" w:rsidRDefault="00F7701E">
      <w:pPr>
        <w:spacing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Цель настоящей Методики – опред</w:t>
      </w:r>
      <w:r>
        <w:rPr>
          <w:rFonts w:ascii="Times New Roman" w:eastAsia="Times New Roman" w:hAnsi="Times New Roman" w:cs="Times New Roman"/>
          <w:sz w:val="24"/>
          <w:szCs w:val="24"/>
        </w:rPr>
        <w:t>еление базовых принципов и подходов при формировании КФО ГСК в составе консолидированного бухгалтерского баланса и консолидированного отчета о финансовых результатах.</w:t>
      </w:r>
      <w:r>
        <w:rPr>
          <w:rStyle w:val="af3"/>
          <w:rFonts w:ascii="Times New Roman" w:eastAsia="Times New Roman" w:hAnsi="Times New Roman" w:cs="Times New Roman"/>
          <w:sz w:val="24"/>
          <w:szCs w:val="24"/>
        </w:rPr>
        <w:footnoteReference w:id="1"/>
      </w:r>
    </w:p>
    <w:p w:rsidR="008E774E" w:rsidRDefault="00F7701E">
      <w:pPr>
        <w:spacing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Настоящая Методика является самостоятельным документом,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предназначенным для методологической поддержки процесса формирования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Банком  КФО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ГСК , но не регламентирует цели и порядок ее использования на различных этапах кредитного процесса.</w:t>
      </w:r>
    </w:p>
    <w:p w:rsidR="008E774E" w:rsidRDefault="00F7701E">
      <w:pPr>
        <w:spacing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Настоящая  Методика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не регламентирует порядок взаимодействия подразделени</w:t>
      </w:r>
      <w:r>
        <w:rPr>
          <w:rFonts w:ascii="Times New Roman" w:eastAsia="Times New Roman" w:hAnsi="Times New Roman" w:cs="Times New Roman"/>
          <w:sz w:val="24"/>
          <w:szCs w:val="24"/>
        </w:rPr>
        <w:t>й в рамках процессов определения/согласования/изменения состава ГСК и влияние указанного процесса на структуру КФО ГСК, определенный иными нормативными документами Банка, включая, в том числе Инструкцию 1-И и Порядок 515-П.</w:t>
      </w:r>
    </w:p>
    <w:p w:rsidR="008E774E" w:rsidRDefault="00F7701E">
      <w:pPr>
        <w:spacing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Настоящая  Методика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не </w:t>
      </w:r>
      <w:r>
        <w:rPr>
          <w:rFonts w:ascii="Times New Roman" w:eastAsia="Times New Roman" w:hAnsi="Times New Roman" w:cs="Times New Roman"/>
          <w:sz w:val="24"/>
          <w:szCs w:val="24"/>
        </w:rPr>
        <w:t>регламентирует порядок взаимодействия подразделений  на этапах проведения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экспертизы финансово-хозяйственной деятельности Заемщика/ГСК, мониторинге и присвоении внутренних кредитных рейтингов Заемщику и ГСК.</w:t>
      </w:r>
      <w:r>
        <w:rPr>
          <w:szCs w:val="24"/>
        </w:rPr>
        <w:t xml:space="preserve"> </w:t>
      </w:r>
    </w:p>
    <w:p w:rsidR="008E774E" w:rsidRDefault="00F7701E">
      <w:pPr>
        <w:spacing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Если иное не предусмотрено настоящей Методикой,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то термины и сокращения, применяемые в Инструкции №1-И, </w:t>
      </w:r>
      <w:r>
        <w:rPr>
          <w:rFonts w:ascii="Times New Roman" w:eastAsia="Times New Roman" w:hAnsi="Times New Roman" w:cs="Times New Roman"/>
          <w:sz w:val="24"/>
          <w:szCs w:val="24"/>
        </w:rPr>
        <w:t>Порядке №515-П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Методике анализа и оценки и Методике ГСК, </w:t>
      </w:r>
      <w:r>
        <w:rPr>
          <w:rFonts w:ascii="Times New Roman" w:eastAsia="Times New Roman" w:hAnsi="Times New Roman" w:cs="Times New Roman"/>
          <w:sz w:val="24"/>
          <w:szCs w:val="24"/>
        </w:rPr>
        <w:t>применяются для целей настоящей Методики в том же значении, в каком эти термины и сокращения применяются в указанных выше внутренних норматив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ных документах Банка. </w:t>
      </w:r>
    </w:p>
    <w:p w:rsidR="008E774E" w:rsidRDefault="008E774E">
      <w:pPr>
        <w:spacing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774E" w:rsidRDefault="00F7701E">
      <w:pPr>
        <w:spacing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3.1. Методика исходит из следующих базовых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принципов  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правил консолидации:</w:t>
      </w:r>
    </w:p>
    <w:p w:rsidR="008E774E" w:rsidRDefault="00F7701E">
      <w:pPr>
        <w:pStyle w:val="afa"/>
        <w:numPr>
          <w:ilvl w:val="0"/>
          <w:numId w:val="1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Единая отчетная дата формирования бухгалтерской (финансовой) отчетности компаний, включенных в периметр консолидации;</w:t>
      </w:r>
    </w:p>
    <w:p w:rsidR="008E774E" w:rsidRDefault="00F7701E">
      <w:pPr>
        <w:pStyle w:val="afa"/>
        <w:numPr>
          <w:ilvl w:val="0"/>
          <w:numId w:val="1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Единый формат бухгалтерской (финансов</w:t>
      </w:r>
      <w:r>
        <w:rPr>
          <w:rFonts w:ascii="Times New Roman" w:eastAsia="Times New Roman" w:hAnsi="Times New Roman" w:cs="Times New Roman"/>
          <w:sz w:val="24"/>
          <w:szCs w:val="24"/>
        </w:rPr>
        <w:t>ой) отчетности компаний, включенных в периметр консолидации;</w:t>
      </w:r>
    </w:p>
    <w:p w:rsidR="008E774E" w:rsidRDefault="00F7701E">
      <w:pPr>
        <w:pStyle w:val="afa"/>
        <w:numPr>
          <w:ilvl w:val="0"/>
          <w:numId w:val="1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Единый метод построения отчетности (метод начисления/кассовый метод)</w:t>
      </w:r>
    </w:p>
    <w:p w:rsidR="008E774E" w:rsidRDefault="00F7701E">
      <w:pPr>
        <w:pStyle w:val="afa"/>
        <w:numPr>
          <w:ilvl w:val="0"/>
          <w:numId w:val="1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Единые единицы денежного измерения; </w:t>
      </w:r>
    </w:p>
    <w:p w:rsidR="008E774E" w:rsidRDefault="00F7701E">
      <w:pPr>
        <w:pStyle w:val="afa"/>
        <w:numPr>
          <w:ilvl w:val="0"/>
          <w:numId w:val="1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Единство методов оценки статей баланса;</w:t>
      </w:r>
    </w:p>
    <w:p w:rsidR="008E774E" w:rsidRDefault="00F7701E">
      <w:pPr>
        <w:pStyle w:val="afa"/>
        <w:numPr>
          <w:ilvl w:val="0"/>
          <w:numId w:val="1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Единые принципы учетной политики</w:t>
      </w:r>
    </w:p>
    <w:p w:rsidR="008E774E" w:rsidRDefault="00F7701E">
      <w:pPr>
        <w:pStyle w:val="afa"/>
        <w:numPr>
          <w:ilvl w:val="0"/>
          <w:numId w:val="1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Полнота предоста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вленной информации; </w:t>
      </w:r>
    </w:p>
    <w:p w:rsidR="008E774E" w:rsidRDefault="00F7701E">
      <w:pPr>
        <w:pStyle w:val="afa"/>
        <w:numPr>
          <w:ilvl w:val="0"/>
          <w:numId w:val="1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Исключение балансовых остатков, сформированных по операциям между компаниями ГСК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  все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отчетные даты, которые используются для анализа;</w:t>
      </w:r>
    </w:p>
    <w:p w:rsidR="008E774E" w:rsidRDefault="00F7701E">
      <w:pPr>
        <w:pStyle w:val="afa"/>
        <w:numPr>
          <w:ilvl w:val="0"/>
          <w:numId w:val="1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Исключение внутригрупповых взаимных оборотов компаний, включенных в ГСК за отчетный период/период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проведения анализа.</w:t>
      </w:r>
    </w:p>
    <w:p w:rsidR="008E774E" w:rsidRDefault="00F7701E">
      <w:pPr>
        <w:spacing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3.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2.Формирование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КФО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ГСК с использованием настоящей Методики осуществляется:</w:t>
      </w:r>
    </w:p>
    <w:p w:rsidR="008E774E" w:rsidRDefault="00F7701E">
      <w:pPr>
        <w:spacing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1.Для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подтверждения консолидированной отчетности ГСК, предоставленной Клиентом;</w:t>
      </w:r>
    </w:p>
    <w:p w:rsidR="008E774E" w:rsidRDefault="00F7701E">
      <w:pPr>
        <w:spacing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2.Для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формирования КФО ГСК, в случае, если:</w:t>
      </w:r>
    </w:p>
    <w:p w:rsidR="008E774E" w:rsidRDefault="00F7701E">
      <w:pPr>
        <w:pStyle w:val="afa"/>
        <w:numPr>
          <w:ilvl w:val="0"/>
          <w:numId w:val="5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перечень компаний ГК, включенных Клиентом в состав предоставленной в Банк консолидированной, в том числе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аудированной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отчетности, не соответствует требованиям Банка по определению структуры ГСК</w:t>
      </w:r>
      <w:r>
        <w:rPr>
          <w:rStyle w:val="af3"/>
          <w:rFonts w:ascii="Times New Roman" w:eastAsia="Times New Roman" w:hAnsi="Times New Roman" w:cs="Times New Roman"/>
          <w:sz w:val="24"/>
          <w:szCs w:val="24"/>
        </w:rPr>
        <w:footnoteReference w:id="2"/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E774E" w:rsidRDefault="00F7701E">
      <w:pPr>
        <w:pStyle w:val="afa"/>
        <w:numPr>
          <w:ilvl w:val="0"/>
          <w:numId w:val="5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Клиентом не формируется и не представляется в Банк консолиди</w:t>
      </w:r>
      <w:r>
        <w:rPr>
          <w:rFonts w:ascii="Times New Roman" w:eastAsia="Times New Roman" w:hAnsi="Times New Roman" w:cs="Times New Roman"/>
          <w:sz w:val="24"/>
          <w:szCs w:val="24"/>
        </w:rPr>
        <w:t>рованная отчетность;</w:t>
      </w:r>
    </w:p>
    <w:p w:rsidR="008E774E" w:rsidRDefault="00F7701E">
      <w:pPr>
        <w:pStyle w:val="afa"/>
        <w:numPr>
          <w:ilvl w:val="0"/>
          <w:numId w:val="5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Банком КФО ГСК предусмотрено решением УОБ ГО.</w:t>
      </w:r>
    </w:p>
    <w:p w:rsidR="008E774E" w:rsidRDefault="00F7701E">
      <w:pPr>
        <w:spacing w:line="283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3.Особенности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применения настоящей Методики. </w:t>
      </w:r>
    </w:p>
    <w:p w:rsidR="008E774E" w:rsidRDefault="008E774E">
      <w:pPr>
        <w:spacing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774E" w:rsidRDefault="00F7701E">
      <w:pPr>
        <w:spacing w:line="283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3.3.1.Формирование КФО ГСК осуществляется с учетом индивидуального подхода</w:t>
      </w:r>
      <w:r>
        <w:rPr>
          <w:rStyle w:val="af3"/>
          <w:rFonts w:ascii="Times New Roman" w:eastAsia="Times New Roman" w:hAnsi="Times New Roman" w:cs="Times New Roman"/>
          <w:sz w:val="24"/>
          <w:szCs w:val="24"/>
        </w:rPr>
        <w:footnoteReference w:id="3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случае если:</w:t>
      </w:r>
    </w:p>
    <w:p w:rsidR="008E774E" w:rsidRDefault="00F7701E">
      <w:pPr>
        <w:pStyle w:val="afa"/>
        <w:numPr>
          <w:ilvl w:val="0"/>
          <w:numId w:val="7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состав ГСК включены компании ГК, ф</w:t>
      </w:r>
      <w:r>
        <w:rPr>
          <w:rFonts w:ascii="Times New Roman" w:eastAsia="Times New Roman" w:hAnsi="Times New Roman" w:cs="Times New Roman"/>
          <w:sz w:val="24"/>
          <w:szCs w:val="24"/>
        </w:rPr>
        <w:t>ормирующие и представляющие в налоговые органы/Банк бухгалтерскую (финансовую) отчетность, формат которой, не соответствует утвержденному Приказом МФ РФ №157н и/или не может быть приведен в соответствие и подтвержден согласно требованиям п.п.2.3, 3.1 и При</w:t>
      </w:r>
      <w:r>
        <w:rPr>
          <w:rFonts w:ascii="Times New Roman" w:eastAsia="Times New Roman" w:hAnsi="Times New Roman" w:cs="Times New Roman"/>
          <w:sz w:val="24"/>
          <w:szCs w:val="24"/>
        </w:rPr>
        <w:t>ложениям  №№ 2-4 Методики анализа и оценки</w:t>
      </w:r>
      <w:r>
        <w:rPr>
          <w:rStyle w:val="af3"/>
          <w:rFonts w:ascii="Times New Roman" w:eastAsia="Times New Roman" w:hAnsi="Times New Roman" w:cs="Times New Roman"/>
          <w:sz w:val="24"/>
          <w:szCs w:val="24"/>
        </w:rPr>
        <w:footnoteReference w:id="4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8E774E" w:rsidRDefault="00F7701E">
      <w:pPr>
        <w:pStyle w:val="afa"/>
        <w:numPr>
          <w:ilvl w:val="0"/>
          <w:numId w:val="7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представленная Клиентом в Банк консолидированная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отчетность,в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том числе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аудированная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не может быть подтверждена вследствие невозможности представления полного комплекта  документов в соответствии с требованиям</w:t>
      </w:r>
      <w:r>
        <w:rPr>
          <w:rFonts w:ascii="Times New Roman" w:eastAsia="Times New Roman" w:hAnsi="Times New Roman" w:cs="Times New Roman"/>
          <w:sz w:val="24"/>
          <w:szCs w:val="24"/>
        </w:rPr>
        <w:t>и  п. 4.3 настоящей Методики. на какую-либо из дат, на которую предусмотрена необходимость/обязанность  формирования КФО ГСК</w:t>
      </w:r>
      <w:r>
        <w:rPr>
          <w:rStyle w:val="af3"/>
          <w:rFonts w:ascii="Times New Roman" w:eastAsia="Times New Roman" w:hAnsi="Times New Roman" w:cs="Times New Roman"/>
          <w:sz w:val="24"/>
          <w:szCs w:val="24"/>
        </w:rPr>
        <w:footnoteReference w:id="5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не соблюдается какой-либо из принципов/правил,  приведенных в пункте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\h3.1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настоящей Методики. </w:t>
      </w:r>
    </w:p>
    <w:p w:rsidR="008E774E" w:rsidRDefault="00F7701E">
      <w:pPr>
        <w:spacing w:line="283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bookmarkStart w:id="1" w:name="undefine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Источники информации для формирования КФО ГСК.</w:t>
      </w:r>
      <w:bookmarkEnd w:id="1"/>
    </w:p>
    <w:p w:rsidR="008E774E" w:rsidRDefault="008E774E">
      <w:pPr>
        <w:spacing w:line="283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774E" w:rsidRDefault="00F770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1.Для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формирования КФО ГСК </w:t>
      </w:r>
      <w:r>
        <w:rPr>
          <w:rFonts w:ascii="Times New Roman" w:eastAsia="Times New Roman" w:hAnsi="Times New Roman" w:cs="Times New Roman"/>
          <w:sz w:val="24"/>
          <w:szCs w:val="24"/>
        </w:rPr>
        <w:t>с применением индивидуальных подходов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дополнительно  к полностью или частично представленными Клиентом материалам, перечисленным в пункте 4.3 настоящей Методики, могут быть </w:t>
      </w:r>
      <w:r>
        <w:rPr>
          <w:rFonts w:ascii="Times New Roman" w:eastAsia="Times New Roman" w:hAnsi="Times New Roman" w:cs="Times New Roman"/>
          <w:sz w:val="24"/>
          <w:szCs w:val="24"/>
        </w:rPr>
        <w:t>использованы:</w:t>
      </w:r>
    </w:p>
    <w:p w:rsidR="008E774E" w:rsidRDefault="00F7701E">
      <w:pPr>
        <w:pStyle w:val="afa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документы каждого субъекта в составе ГСК, предоставленные клиентом;</w:t>
      </w:r>
    </w:p>
    <w:p w:rsidR="008E774E" w:rsidRDefault="00F7701E">
      <w:pPr>
        <w:pStyle w:val="afa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данные бухгалтерской (финансовой) отчетности, размещаемой в открытых информационных источниках, доступных широкому кругу лиц (официальные сайты компаний), СПАРК (https://spar</w:t>
      </w:r>
      <w:r>
        <w:rPr>
          <w:rFonts w:ascii="Times New Roman" w:eastAsia="Times New Roman" w:hAnsi="Times New Roman" w:cs="Times New Roman"/>
          <w:sz w:val="24"/>
          <w:szCs w:val="24"/>
        </w:rPr>
        <w:t>k-interfax.ru/,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 w:tooltip="https://www.e-disclosure.ru/" w:history="1">
        <w:r>
          <w:rPr>
            <w:rStyle w:val="af0"/>
            <w:rFonts w:ascii="Times New Roman" w:eastAsia="Times New Roman" w:hAnsi="Times New Roman" w:cs="Times New Roman"/>
            <w:color w:val="auto"/>
            <w:sz w:val="24"/>
            <w:szCs w:val="24"/>
            <w:highlight w:val="white"/>
          </w:rPr>
          <w:t>https://www.e-disclosure.ru/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8E774E" w:rsidRDefault="00F7701E">
      <w:pPr>
        <w:pStyle w:val="afa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данные сайта ФНС России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https://service.nalog.ru/vyp,https://gir-bo.ru/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</w:p>
    <w:p w:rsidR="008E774E" w:rsidRDefault="00F7701E">
      <w:pPr>
        <w:pStyle w:val="afa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данные Федеральной службы государственной статистик</w:t>
      </w:r>
      <w:r>
        <w:rPr>
          <w:rFonts w:ascii="Times New Roman" w:eastAsia="Times New Roman" w:hAnsi="Times New Roman" w:cs="Times New Roman"/>
          <w:sz w:val="24"/>
          <w:szCs w:val="24"/>
        </w:rPr>
        <w:t>и (Росстат) (</w:t>
      </w:r>
      <w:hyperlink r:id="rId8" w:tooltip="https://rosstat.gov.ru/" w:history="1">
        <w:r>
          <w:rPr>
            <w:rFonts w:ascii="Times New Roman" w:eastAsia="Times New Roman" w:hAnsi="Times New Roman" w:cs="Times New Roman"/>
            <w:sz w:val="24"/>
            <w:szCs w:val="24"/>
          </w:rPr>
          <w:t>rosstat.gov.ru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</w:p>
    <w:p w:rsidR="008E774E" w:rsidRDefault="00F7701E">
      <w:pPr>
        <w:pStyle w:val="afa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данные сайта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федресурса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" w:tooltip="https://bankrot.fedresurs.ru/" w:history="1">
        <w:r>
          <w:rPr>
            <w:rFonts w:ascii="Times New Roman" w:eastAsia="Times New Roman" w:hAnsi="Times New Roman" w:cs="Times New Roman"/>
            <w:sz w:val="24"/>
            <w:szCs w:val="24"/>
          </w:rPr>
          <w:t>bankrot.fedresurs.ru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и пр., </w:t>
      </w:r>
    </w:p>
    <w:p w:rsidR="008E774E" w:rsidRDefault="00F7701E">
      <w:pPr>
        <w:pStyle w:val="afa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управленческая финансо</w:t>
      </w:r>
      <w:r>
        <w:rPr>
          <w:rFonts w:ascii="Times New Roman" w:eastAsia="Times New Roman" w:hAnsi="Times New Roman" w:cs="Times New Roman"/>
          <w:sz w:val="24"/>
          <w:szCs w:val="24"/>
        </w:rPr>
        <w:t>вая отчетность компании(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),</w:t>
      </w:r>
    </w:p>
    <w:p w:rsidR="008E774E" w:rsidRDefault="00F7701E">
      <w:pPr>
        <w:pStyle w:val="afa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предоставленные компанией-нерезидентом финансовая отчетность в формате, установленном законодательством и/или стандартами бухгалтерского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учета  страны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 места регистрации компании,</w:t>
      </w:r>
    </w:p>
    <w:p w:rsidR="008E774E" w:rsidRDefault="00F7701E">
      <w:pPr>
        <w:pStyle w:val="afa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иная доступная информация о ГК/ГСК и/или о кажд</w:t>
      </w:r>
      <w:r>
        <w:rPr>
          <w:rFonts w:ascii="Times New Roman" w:eastAsia="Times New Roman" w:hAnsi="Times New Roman" w:cs="Times New Roman"/>
          <w:sz w:val="24"/>
          <w:szCs w:val="24"/>
        </w:rPr>
        <w:t>ой компании ГК/ГСК.</w:t>
      </w:r>
    </w:p>
    <w:p w:rsidR="008E774E" w:rsidRDefault="00F7701E">
      <w:pPr>
        <w:spacing w:before="283"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4.2.Независимо от формата предоставления, перед формированием КФО ГСК бухгалтерская (финансовая) отчетность по компаниям, предоставленная  Клиентом,  должна быть проверена  на предмет соблюдения требований по ее составлению, устанавлива</w:t>
      </w:r>
      <w:r>
        <w:rPr>
          <w:rFonts w:ascii="Times New Roman" w:eastAsia="Times New Roman" w:hAnsi="Times New Roman" w:cs="Times New Roman"/>
          <w:sz w:val="24"/>
          <w:szCs w:val="24"/>
        </w:rPr>
        <w:t>емых правилами ведения бухгалтерского учета и составления отчетности, налоговым законодательством и иными документами нормативно-правового регулирования в сфере бухгалтерского учета и отчетности организаций,  в порядке, определенном   Методикой анализа и о</w:t>
      </w:r>
      <w:r>
        <w:rPr>
          <w:rFonts w:ascii="Times New Roman" w:eastAsia="Times New Roman" w:hAnsi="Times New Roman" w:cs="Times New Roman"/>
          <w:sz w:val="24"/>
          <w:szCs w:val="24"/>
        </w:rPr>
        <w:t>ценки.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E774E" w:rsidRDefault="008E774E">
      <w:pPr>
        <w:spacing w:before="283"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774E" w:rsidRDefault="00F7701E">
      <w:pPr>
        <w:spacing w:before="283"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4.3.В целях формирован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ия КФО ГСК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отношении  компаний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ГСК, осуществляющих ведение бухгалтерского учета, позволяющих составлять отчетность в соответствии с форматами, утвержденными </w:t>
      </w:r>
      <w:r>
        <w:rPr>
          <w:rFonts w:ascii="Times New Roman" w:eastAsia="Times New Roman" w:hAnsi="Times New Roman" w:cs="Times New Roman"/>
          <w:sz w:val="24"/>
          <w:szCs w:val="24"/>
        </w:rPr>
        <w:t>Приказом МФ РФ 157н</w:t>
      </w:r>
      <w:r>
        <w:rPr>
          <w:rFonts w:ascii="Times New Roman" w:eastAsia="Times New Roman" w:hAnsi="Times New Roman" w:cs="Times New Roman"/>
          <w:sz w:val="24"/>
          <w:szCs w:val="24"/>
        </w:rPr>
        <w:t>, Банком  в объеме необходимом и достаточном дл</w:t>
      </w:r>
      <w:r>
        <w:rPr>
          <w:rFonts w:ascii="Times New Roman" w:eastAsia="Times New Roman" w:hAnsi="Times New Roman" w:cs="Times New Roman"/>
          <w:sz w:val="24"/>
          <w:szCs w:val="24"/>
        </w:rPr>
        <w:t>я выполнения консолидации могут быть использованы/запрошены: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E774E" w:rsidRDefault="00F7701E">
      <w:pPr>
        <w:spacing w:before="283"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4.3.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1.Бухгалтерская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(финансовая) отчетность в составе бухгалтерского баланса и отчета о финансовых результатах,  представленные Клиентом и/или сформированные Банком  в формате Приложений №№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3 и 4 в соответствии с ФСБУ 4/2023, утвержденным Приказом МФ РФ №157н.</w:t>
      </w:r>
    </w:p>
    <w:p w:rsidR="008E774E" w:rsidRDefault="008E774E">
      <w:pPr>
        <w:spacing w:before="283"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8E774E" w:rsidRDefault="00F7701E">
      <w:pPr>
        <w:spacing w:before="283"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4.3.2. Карточка/анализ счета 51/52, общая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оборотно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-сальдовая ведомость (ОСВ)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оборотно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-сальдовые ведомости по счетам бухгалтерского учета поквартально/нарастающим</w:t>
      </w:r>
      <w:r>
        <w:rPr>
          <w:rStyle w:val="af3"/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итогом</w:t>
      </w:r>
      <w:r>
        <w:rPr>
          <w:rStyle w:val="af3"/>
          <w:rFonts w:ascii="Times New Roman" w:eastAsia="Times New Roman" w:hAnsi="Times New Roman" w:cs="Times New Roman"/>
          <w:sz w:val="24"/>
          <w:szCs w:val="24"/>
          <w:highlight w:val="white"/>
        </w:rPr>
        <w:footnoteReference w:id="6"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 разрезе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субсчетов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/контрагентов/видов операций  за предшествующие дате экспертизы 5 (пять) отчетных периодов с указанием данных о наименовании/ИНН каждого контрагента</w:t>
      </w:r>
      <w:r>
        <w:rPr>
          <w:rStyle w:val="af3"/>
          <w:rFonts w:ascii="Times New Roman" w:eastAsia="Times New Roman" w:hAnsi="Times New Roman" w:cs="Times New Roman"/>
          <w:sz w:val="24"/>
          <w:szCs w:val="24"/>
          <w:highlight w:val="white"/>
        </w:rPr>
        <w:footnoteReference w:id="7"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:</w:t>
      </w:r>
    </w:p>
    <w:p w:rsidR="008E774E" w:rsidRDefault="00F7701E">
      <w:pPr>
        <w:spacing w:line="283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По балансовым счетам учета:</w:t>
      </w:r>
    </w:p>
    <w:p w:rsidR="008E774E" w:rsidRDefault="00F7701E">
      <w:pPr>
        <w:pStyle w:val="afa"/>
        <w:numPr>
          <w:ilvl w:val="0"/>
          <w:numId w:val="15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01 (Основные средства);</w:t>
      </w:r>
    </w:p>
    <w:p w:rsidR="008E774E" w:rsidRDefault="00F7701E">
      <w:pPr>
        <w:pStyle w:val="afa"/>
        <w:numPr>
          <w:ilvl w:val="0"/>
          <w:numId w:val="15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02 (Амортизация)</w:t>
      </w:r>
      <w:r>
        <w:rPr>
          <w:rStyle w:val="af3"/>
          <w:rFonts w:ascii="Times New Roman" w:eastAsia="Times New Roman" w:hAnsi="Times New Roman" w:cs="Times New Roman"/>
          <w:sz w:val="24"/>
          <w:szCs w:val="24"/>
          <w:highlight w:val="white"/>
        </w:rPr>
        <w:footnoteReference w:id="8"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;</w:t>
      </w:r>
    </w:p>
    <w:p w:rsidR="008E774E" w:rsidRDefault="00F7701E">
      <w:pPr>
        <w:pStyle w:val="afa"/>
        <w:numPr>
          <w:ilvl w:val="0"/>
          <w:numId w:val="15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03 (Доходные 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ложения в материальные ценности);</w:t>
      </w:r>
    </w:p>
    <w:p w:rsidR="008E774E" w:rsidRDefault="00F7701E">
      <w:pPr>
        <w:pStyle w:val="afa"/>
        <w:numPr>
          <w:ilvl w:val="0"/>
          <w:numId w:val="15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</w:rPr>
        <w:t xml:space="preserve">08 (Вложения 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внеоборотные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активы);</w:t>
      </w:r>
    </w:p>
    <w:p w:rsidR="008E774E" w:rsidRDefault="00F7701E">
      <w:pPr>
        <w:pStyle w:val="afa"/>
        <w:numPr>
          <w:ilvl w:val="0"/>
          <w:numId w:val="15"/>
        </w:numPr>
        <w:spacing w:line="283" w:lineRule="atLeast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60 (Расчеты с поставщиками и подрядчиками);</w:t>
      </w:r>
    </w:p>
    <w:p w:rsidR="008E774E" w:rsidRDefault="00F7701E">
      <w:pPr>
        <w:pStyle w:val="afa"/>
        <w:numPr>
          <w:ilvl w:val="0"/>
          <w:numId w:val="15"/>
        </w:numPr>
        <w:spacing w:line="283" w:lineRule="atLeast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62 (Расчеты с покупателями и заказчиками);</w:t>
      </w:r>
    </w:p>
    <w:p w:rsidR="008E774E" w:rsidRDefault="00F7701E">
      <w:pPr>
        <w:pStyle w:val="afa"/>
        <w:numPr>
          <w:ilvl w:val="0"/>
          <w:numId w:val="15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63 (Резервы по сомнительным долгам);</w:t>
      </w:r>
    </w:p>
    <w:p w:rsidR="008E774E" w:rsidRDefault="00F7701E">
      <w:pPr>
        <w:pStyle w:val="afa"/>
        <w:numPr>
          <w:ilvl w:val="0"/>
          <w:numId w:val="15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76 (Расчеты с разными дебиторами и кредиторами);</w:t>
      </w:r>
    </w:p>
    <w:p w:rsidR="008E774E" w:rsidRDefault="00F7701E">
      <w:pPr>
        <w:pStyle w:val="afa"/>
        <w:numPr>
          <w:ilvl w:val="0"/>
          <w:numId w:val="15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66 (Расчеты по краткосрочным кредитам и займам);</w:t>
      </w:r>
    </w:p>
    <w:p w:rsidR="008E774E" w:rsidRDefault="00F7701E">
      <w:pPr>
        <w:pStyle w:val="afa"/>
        <w:numPr>
          <w:ilvl w:val="0"/>
          <w:numId w:val="15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67 (Расчеты по долгосрочным кредитам и займам);</w:t>
      </w:r>
    </w:p>
    <w:p w:rsidR="008E774E" w:rsidRDefault="00F7701E">
      <w:pPr>
        <w:pStyle w:val="afa"/>
        <w:numPr>
          <w:ilvl w:val="0"/>
          <w:numId w:val="15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51 (Расчетные счета), только при отсутствии карточки/анализа счета</w:t>
      </w:r>
    </w:p>
    <w:p w:rsidR="008E774E" w:rsidRDefault="00F7701E">
      <w:pPr>
        <w:pStyle w:val="afa"/>
        <w:numPr>
          <w:ilvl w:val="0"/>
          <w:numId w:val="15"/>
        </w:numPr>
        <w:spacing w:line="283" w:lineRule="atLeast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lastRenderedPageBreak/>
        <w:t>52 (Валютные счета), только при отсутствии карточки/анализа счета</w:t>
      </w:r>
    </w:p>
    <w:p w:rsidR="008E774E" w:rsidRDefault="00F7701E">
      <w:pPr>
        <w:pStyle w:val="afa"/>
        <w:numPr>
          <w:ilvl w:val="0"/>
          <w:numId w:val="15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58 (Финансовые вложения);</w:t>
      </w:r>
    </w:p>
    <w:p w:rsidR="008E774E" w:rsidRDefault="00F7701E">
      <w:pPr>
        <w:pStyle w:val="afa"/>
        <w:numPr>
          <w:ilvl w:val="0"/>
          <w:numId w:val="15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59 (Резервы под обесценение финансовых вложений);</w:t>
      </w:r>
    </w:p>
    <w:p w:rsidR="008E774E" w:rsidRDefault="00F7701E">
      <w:pPr>
        <w:pStyle w:val="afa"/>
        <w:numPr>
          <w:ilvl w:val="0"/>
          <w:numId w:val="15"/>
        </w:numPr>
        <w:spacing w:line="283" w:lineRule="atLeast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</w:rPr>
        <w:t>83(Добавочный капитал);</w:t>
      </w:r>
    </w:p>
    <w:p w:rsidR="008E774E" w:rsidRDefault="00F7701E">
      <w:pPr>
        <w:pStyle w:val="afa"/>
        <w:numPr>
          <w:ilvl w:val="0"/>
          <w:numId w:val="23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44 (Расходы на продажу);</w:t>
      </w:r>
    </w:p>
    <w:p w:rsidR="008E774E" w:rsidRDefault="00F7701E">
      <w:pPr>
        <w:pStyle w:val="afa"/>
        <w:numPr>
          <w:ilvl w:val="0"/>
          <w:numId w:val="23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26 (Общехозяйственные расходы);</w:t>
      </w:r>
    </w:p>
    <w:p w:rsidR="008E774E" w:rsidRDefault="00F7701E">
      <w:pPr>
        <w:pStyle w:val="afa"/>
        <w:numPr>
          <w:ilvl w:val="0"/>
          <w:numId w:val="15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90 (Продажи);</w:t>
      </w:r>
    </w:p>
    <w:p w:rsidR="008E774E" w:rsidRDefault="00F7701E">
      <w:pPr>
        <w:pStyle w:val="afa"/>
        <w:numPr>
          <w:ilvl w:val="0"/>
          <w:numId w:val="15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91 (Прочие доходы и расходы)</w:t>
      </w:r>
      <w:r>
        <w:rPr>
          <w:rStyle w:val="af3"/>
          <w:rFonts w:ascii="Times New Roman" w:eastAsia="Times New Roman" w:hAnsi="Times New Roman" w:cs="Times New Roman"/>
          <w:sz w:val="24"/>
          <w:szCs w:val="24"/>
          <w:highlight w:val="white"/>
        </w:rPr>
        <w:footnoteReference w:id="9"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8E774E" w:rsidRDefault="00F7701E">
      <w:pPr>
        <w:spacing w:line="283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забалансовым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счетам учета:</w:t>
      </w:r>
    </w:p>
    <w:p w:rsidR="008E774E" w:rsidRDefault="00F7701E">
      <w:pPr>
        <w:pStyle w:val="afa"/>
        <w:numPr>
          <w:ilvl w:val="0"/>
          <w:numId w:val="16"/>
        </w:numPr>
        <w:spacing w:line="28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001(Аренда основных средств);</w:t>
      </w:r>
    </w:p>
    <w:p w:rsidR="008E774E" w:rsidRDefault="00F7701E">
      <w:pPr>
        <w:pStyle w:val="afa"/>
        <w:numPr>
          <w:ilvl w:val="0"/>
          <w:numId w:val="16"/>
        </w:numPr>
        <w:spacing w:line="28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008(Обеспечение обязательств и платежей полученные)</w:t>
      </w:r>
    </w:p>
    <w:p w:rsidR="008E774E" w:rsidRDefault="00F7701E">
      <w:pPr>
        <w:pStyle w:val="afa"/>
        <w:numPr>
          <w:ilvl w:val="0"/>
          <w:numId w:val="16"/>
        </w:numPr>
        <w:spacing w:line="28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009 (Обеспечения обязательств и платежей выданные);</w:t>
      </w:r>
    </w:p>
    <w:p w:rsidR="008E774E" w:rsidRDefault="00F7701E">
      <w:pPr>
        <w:pStyle w:val="afa"/>
        <w:numPr>
          <w:ilvl w:val="0"/>
          <w:numId w:val="16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011(Основные средства, сданные  в аренду)</w:t>
      </w:r>
      <w:r>
        <w:rPr>
          <w:rStyle w:val="af3"/>
          <w:rFonts w:ascii="Times New Roman" w:eastAsia="Times New Roman" w:hAnsi="Times New Roman" w:cs="Times New Roman"/>
          <w:sz w:val="24"/>
          <w:szCs w:val="24"/>
        </w:rPr>
        <w:footnoteReference w:id="10"/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E774E" w:rsidRDefault="00F7701E">
      <w:pPr>
        <w:spacing w:before="283" w:line="283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4.3.3.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Расшиф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ровки статей отчета о финансовых результатах.</w:t>
      </w:r>
    </w:p>
    <w:p w:rsidR="008E774E" w:rsidRDefault="008E774E">
      <w:pPr>
        <w:spacing w:before="283" w:line="283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8E774E" w:rsidRDefault="00F7701E">
      <w:pPr>
        <w:spacing w:before="283"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4.3.4.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Информация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предоставляемая  Клиентом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на этапах проведения экспертизы/мониторинга, включая   расшифровки  отдельных статей бухгалтерского баланса, представленные по форме Банка и/или в произвольной форме, содержащей всю информацию, указанную в форме Банка. Перечень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статей  баланса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по которым  представляются расшифровки, определяется  исходя из достаточности информации необходимой для формирования КФО ГСК, при этом  в приоритетном порядке,   рекомендуется учитывать данные представленные в расшифровках  по статьям:</w:t>
      </w:r>
    </w:p>
    <w:p w:rsidR="008E774E" w:rsidRDefault="00F7701E">
      <w:pPr>
        <w:pStyle w:val="afa"/>
        <w:numPr>
          <w:ilvl w:val="0"/>
          <w:numId w:val="12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ебиторской и кредиторской задолженностей;</w:t>
      </w:r>
    </w:p>
    <w:p w:rsidR="008E774E" w:rsidRDefault="00F7701E">
      <w:pPr>
        <w:pStyle w:val="afa"/>
        <w:numPr>
          <w:ilvl w:val="0"/>
          <w:numId w:val="12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долгосрочных и краткосрочных финансовых вложений;</w:t>
      </w:r>
    </w:p>
    <w:p w:rsidR="008E774E" w:rsidRDefault="00F7701E">
      <w:pPr>
        <w:pStyle w:val="afa"/>
        <w:numPr>
          <w:ilvl w:val="0"/>
          <w:numId w:val="12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долгосрочных и краткосрочных заемных средств.</w:t>
      </w:r>
    </w:p>
    <w:p w:rsidR="008E774E" w:rsidRDefault="00F7701E">
      <w:pPr>
        <w:spacing w:before="283"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4.3.5.При необходимости</w:t>
      </w:r>
      <w:r>
        <w:rPr>
          <w:rStyle w:val="af3"/>
          <w:rFonts w:ascii="Times New Roman" w:eastAsia="Times New Roman" w:hAnsi="Times New Roman" w:cs="Times New Roman"/>
          <w:sz w:val="24"/>
          <w:szCs w:val="24"/>
          <w:highlight w:val="white"/>
        </w:rPr>
        <w:footnoteReference w:id="11"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у Клиента могут быть дополнительно запрошены иные документы</w:t>
      </w:r>
      <w:r>
        <w:rPr>
          <w:rStyle w:val="af3"/>
          <w:rFonts w:ascii="Times New Roman" w:eastAsia="Times New Roman" w:hAnsi="Times New Roman" w:cs="Times New Roman"/>
          <w:sz w:val="24"/>
          <w:szCs w:val="24"/>
          <w:highlight w:val="white"/>
        </w:rPr>
        <w:footnoteReference w:id="12"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позволяющие определить основны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е подходы и особенности  бухгалтерского (финансового) учета компаний, включенных в ГСК (учетная политика,  комментарии/пояснения Клиента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).</w:t>
      </w:r>
    </w:p>
    <w:p w:rsidR="008E774E" w:rsidRDefault="008E774E">
      <w:pPr>
        <w:spacing w:line="283" w:lineRule="atLeast"/>
        <w:ind w:left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E774E" w:rsidRDefault="00F7701E">
      <w:pPr>
        <w:spacing w:line="283" w:lineRule="atLeast"/>
        <w:ind w:left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 Принципы формирования КФО ГСК.</w:t>
      </w:r>
    </w:p>
    <w:p w:rsidR="008E774E" w:rsidRDefault="008E774E">
      <w:pPr>
        <w:spacing w:line="283" w:lineRule="atLeast"/>
        <w:ind w:left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774E" w:rsidRDefault="00F7701E">
      <w:pPr>
        <w:spacing w:before="283"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5.1.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Формирование консолидированного баланса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включает процесс выявления и исключения взаимных требований и обязательств компаний в составе ГСК, с последующим  суммированием оставшихся значений соответствующих статей балансов</w:t>
      </w:r>
      <w:r>
        <w:rPr>
          <w:rStyle w:val="af3"/>
          <w:rFonts w:ascii="Times New Roman" w:eastAsia="Times New Roman" w:hAnsi="Times New Roman" w:cs="Times New Roman"/>
          <w:sz w:val="24"/>
          <w:szCs w:val="24"/>
        </w:rPr>
        <w:footnoteReference w:id="13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E774E" w:rsidRDefault="00F7701E">
      <w:pPr>
        <w:spacing w:after="159" w:line="28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Перечень статей бухгалтерского баланса и счетов учета,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участвующих  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нсолидации в целях исключения взаимных требований/обязательств компаний, включенных в периметр консолидации приведен в Приложении 1 к настоящей Методики. </w:t>
      </w:r>
    </w:p>
    <w:p w:rsidR="008E774E" w:rsidRDefault="00F7701E">
      <w:pPr>
        <w:spacing w:after="159" w:line="283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5.1.1.В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процессе консолидации балансов каждой компании ГСК проводится анализ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данных,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предоставляемы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х Клиентом согласно требованиям п. 4.3 настоящей Методики. </w:t>
      </w:r>
    </w:p>
    <w:p w:rsidR="008E774E" w:rsidRDefault="00F7701E">
      <w:pPr>
        <w:spacing w:before="283"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5.1.2.В 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лучае, если в процессе консолидации выявлен факт расхождения взаимных требований/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обязательств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подлежащих исключению, необходимо:</w:t>
      </w:r>
    </w:p>
    <w:p w:rsidR="008E774E" w:rsidRDefault="00F7701E">
      <w:pPr>
        <w:spacing w:before="283"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5.1.2.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1.Определить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существенность выявленного расхождения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путем определения процентного веса разницы значений относительно наименьшего значения из анализируемых параметров.</w:t>
      </w:r>
    </w:p>
    <w:p w:rsidR="008E774E" w:rsidRDefault="008E774E">
      <w:pPr>
        <w:spacing w:before="283"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8E774E" w:rsidRDefault="00F7701E">
      <w:pPr>
        <w:spacing w:before="283"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5.1.2.2.В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случае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если  расхождение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между взаимными требованиями/ обязательствами превышает 5%, с учетом всей имеющейся информации, проводитс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я дополнительный анализ и/или запрашивается информация/пояснения компании(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) о причине расхождения, с последующим выполнением  корректировки, учитывающей корректное отражение выявленного расхождения в консолидированном балансе.</w:t>
      </w:r>
    </w:p>
    <w:p w:rsidR="008E774E" w:rsidRDefault="008E774E">
      <w:pPr>
        <w:spacing w:before="283"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8E774E" w:rsidRDefault="00F7701E">
      <w:pPr>
        <w:spacing w:before="283"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5.1.2.3.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 случае, если расхождение между взаимными требованиями/ обязательствами не превышает 5%, консолидация статей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выполняется  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учетом исключения наименьшей из сумм требований/обязательств, с учетом следующих рекомендуемых подходов:</w:t>
      </w:r>
    </w:p>
    <w:p w:rsidR="008E774E" w:rsidRDefault="00F7701E">
      <w:pPr>
        <w:pStyle w:val="afa"/>
        <w:numPr>
          <w:ilvl w:val="0"/>
          <w:numId w:val="11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если требования/обязательс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тва превышают обязательства/требования, при консолидации </w:t>
      </w:r>
      <w:r>
        <w:rPr>
          <w:rFonts w:ascii="Times New Roman" w:hAnsi="Times New Roman"/>
          <w:sz w:val="24"/>
          <w:szCs w:val="24"/>
        </w:rPr>
        <w:t xml:space="preserve">элиминируется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наименьшая сумма взаимных требований/обязательств, с сохранением суммы выявленного расхождения на соответствующей статье баланса, значение которой было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больше.(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например, Кредиторская за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долженность превышает Дебиторскую задолженность, после элиминирования,  сумма  превышения  сохраняется на статье баланса Кредиторская задолженность).</w:t>
      </w:r>
    </w:p>
    <w:p w:rsidR="008E774E" w:rsidRDefault="00F7701E">
      <w:pPr>
        <w:spacing w:line="283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5.1.2.</w:t>
      </w:r>
      <w:proofErr w:type="gramStart"/>
      <w:r>
        <w:rPr>
          <w:rFonts w:ascii="Times New Roman" w:hAnsi="Times New Roman" w:cs="Times New Roman"/>
          <w:sz w:val="24"/>
          <w:szCs w:val="24"/>
        </w:rPr>
        <w:t>4.При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завершении формирования консолидированного баланса ГСК, совокупный  объем расхожде</w:t>
      </w:r>
      <w:r>
        <w:rPr>
          <w:rFonts w:ascii="Times New Roman" w:hAnsi="Times New Roman" w:cs="Times New Roman"/>
          <w:sz w:val="24"/>
          <w:szCs w:val="24"/>
        </w:rPr>
        <w:t>ний  по всем статьям баланса не должен составлять  более 10%  сформированного в процессе консолидации  размера «чистых активов» ГСК(далее по тексту  - ЧА ГСК), при этом,  если  размер ЧА ГСК менее 10%  размера «валюты баланса» (далее по тексту - ВБ ГСК) об</w:t>
      </w:r>
      <w:r>
        <w:rPr>
          <w:rFonts w:ascii="Times New Roman" w:hAnsi="Times New Roman" w:cs="Times New Roman"/>
          <w:sz w:val="24"/>
          <w:szCs w:val="24"/>
        </w:rPr>
        <w:t xml:space="preserve">ъем расхождений не должен составлять  более 1% ВБ ГСК  . При превышении указанного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показателя,  необходимо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проведение анализа для выяснение причины, оказывающей существенное влияние на размер показателя и обоснование  возможности принятия/не принятия риска</w:t>
      </w:r>
      <w:r>
        <w:rPr>
          <w:rFonts w:ascii="Times New Roman" w:hAnsi="Times New Roman" w:cs="Times New Roman"/>
          <w:sz w:val="24"/>
          <w:szCs w:val="24"/>
        </w:rPr>
        <w:t xml:space="preserve"> в указанной ситуации.</w:t>
      </w:r>
    </w:p>
    <w:p w:rsidR="008E774E" w:rsidRDefault="008E774E">
      <w:pPr>
        <w:spacing w:line="283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774E" w:rsidRDefault="00F7701E">
      <w:pPr>
        <w:spacing w:before="283"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2.Процесс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формирования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консолидированного отчета о финансовых результатах </w:t>
      </w:r>
      <w:r>
        <w:rPr>
          <w:rFonts w:ascii="Times New Roman" w:eastAsia="Times New Roman" w:hAnsi="Times New Roman" w:cs="Times New Roman"/>
          <w:sz w:val="24"/>
          <w:szCs w:val="24"/>
        </w:rPr>
        <w:t>(далее по тексту - ОФР КФО) состоит в выявлении и исключении внутригрупповых взаимных оборотов/расчетов между компаниями ГСК в течение анализируемого период</w:t>
      </w:r>
      <w:r>
        <w:rPr>
          <w:rFonts w:ascii="Times New Roman" w:eastAsia="Times New Roman" w:hAnsi="Times New Roman" w:cs="Times New Roman"/>
          <w:sz w:val="24"/>
          <w:szCs w:val="24"/>
        </w:rPr>
        <w:t>а с последующим суммированием соответствующих статей ОФР,  в рамках которого :</w:t>
      </w:r>
    </w:p>
    <w:p w:rsidR="008E774E" w:rsidRDefault="00F7701E">
      <w:pPr>
        <w:spacing w:before="283"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5.2.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1.Выполняется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анализ данных ОСВ по счетам, приведенным в Приложении 2, в целях выявления и  исключения взаимных оборотов компаний ГСК.</w:t>
      </w:r>
    </w:p>
    <w:p w:rsidR="008E774E" w:rsidRDefault="00F7701E">
      <w:pPr>
        <w:spacing w:before="283"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5.2.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2.При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выявлении  в ходе анализа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ОСВ фактов расхождения объемов взаимных оборотов компаний ГСК, подлежащих исключению: </w:t>
      </w:r>
    </w:p>
    <w:p w:rsidR="008E774E" w:rsidRDefault="00F7701E">
      <w:pPr>
        <w:pStyle w:val="afa"/>
        <w:numPr>
          <w:ilvl w:val="0"/>
          <w:numId w:val="9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определяется существенность выявленного расхождения путем расчета процентного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веса  разницы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значений относительно наименьшего значения из анализируемых параметров;</w:t>
      </w:r>
    </w:p>
    <w:p w:rsidR="008E774E" w:rsidRDefault="00F7701E">
      <w:pPr>
        <w:pStyle w:val="afa"/>
        <w:numPr>
          <w:ilvl w:val="0"/>
          <w:numId w:val="9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при 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бъеме расхождения более 5%, с учетом наличия всей имеющейся информации, проводится дополнительный анализ и/или запрашивается информация/пояснения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Клиента  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причине расхождения, с последующим выполнением корректировки, учитывающей/не учитывающей корректное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отражение выявленного расхождения в консолидированном  ОФР;</w:t>
      </w:r>
    </w:p>
    <w:p w:rsidR="008E774E" w:rsidRDefault="00F7701E">
      <w:pPr>
        <w:pStyle w:val="afa"/>
        <w:numPr>
          <w:ilvl w:val="0"/>
          <w:numId w:val="9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при объеме расхождения не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превышающем  5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%, исключаются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взаимные обороты в размере наименьшей суммы, при этом сумма расхождения сохраняется и учитывается в консолидированном ОФР при суммировании соответствующей статьи, где она была отражена  в большем объеме.</w:t>
      </w:r>
    </w:p>
    <w:p w:rsidR="008E774E" w:rsidRDefault="00F7701E">
      <w:pPr>
        <w:spacing w:before="283"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3.При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формировании ОФР КФО  учитываются/выполняют</w:t>
      </w:r>
      <w:r>
        <w:rPr>
          <w:rFonts w:ascii="Times New Roman" w:eastAsia="Times New Roman" w:hAnsi="Times New Roman" w:cs="Times New Roman"/>
          <w:sz w:val="24"/>
          <w:szCs w:val="24"/>
        </w:rPr>
        <w:t>ся (при необходимости) корректировки, при наличии следующих особенностей финансовой-хозяйственной деятельности и бухгалтерского учета компаний в составе ГСК:</w:t>
      </w:r>
    </w:p>
    <w:p w:rsidR="008E774E" w:rsidRDefault="00F7701E">
      <w:pPr>
        <w:pStyle w:val="afa"/>
        <w:numPr>
          <w:ilvl w:val="0"/>
          <w:numId w:val="10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если, в рамках КФО ГСК выявлена внутригрупповая выручка от реализации продукции, которая не была р</w:t>
      </w:r>
      <w:r>
        <w:rPr>
          <w:rFonts w:ascii="Times New Roman" w:eastAsia="Times New Roman" w:hAnsi="Times New Roman" w:cs="Times New Roman"/>
          <w:sz w:val="24"/>
          <w:szCs w:val="24"/>
        </w:rPr>
        <w:t>еализована в адрес внешних контрагентов, финансовый результат от данной операции подлежит исключению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;</w:t>
      </w:r>
    </w:p>
    <w:p w:rsidR="008E774E" w:rsidRDefault="00F7701E">
      <w:pPr>
        <w:pStyle w:val="afa"/>
        <w:numPr>
          <w:ilvl w:val="0"/>
          <w:numId w:val="10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если, во внутригрупповых расчетах присутствует реализация подакцизных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товаров,  необходимо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выполнение корректировки на сумму акцизов;</w:t>
      </w:r>
    </w:p>
    <w:p w:rsidR="008E774E" w:rsidRDefault="00F7701E">
      <w:pPr>
        <w:pStyle w:val="afa"/>
        <w:numPr>
          <w:ilvl w:val="0"/>
          <w:numId w:val="10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если, в состав ГСК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>ключены  компании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осуществляющие агентские функции, суммирование статей баланса и ОФР, во избежание искажения, выполняется с учетом особенностей их учета; </w:t>
      </w:r>
    </w:p>
    <w:p w:rsidR="008E774E" w:rsidRDefault="00F7701E">
      <w:pPr>
        <w:pStyle w:val="afa"/>
        <w:numPr>
          <w:ilvl w:val="0"/>
          <w:numId w:val="10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если, между компаниями в структуре ГСК имеют место договора аренды имущества, необходимо исключить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возможное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задвоение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амортизационных начислений</w:t>
      </w:r>
    </w:p>
    <w:p w:rsidR="008E774E" w:rsidRDefault="00F7701E">
      <w:pPr>
        <w:pStyle w:val="afa"/>
        <w:numPr>
          <w:ilvl w:val="0"/>
          <w:numId w:val="18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</w:t>
      </w:r>
      <w:r>
        <w:rPr>
          <w:rFonts w:ascii="Times New Roman" w:eastAsia="Times New Roman" w:hAnsi="Times New Roman" w:cs="Times New Roman"/>
          <w:sz w:val="24"/>
          <w:szCs w:val="24"/>
        </w:rPr>
        <w:t>между компаниями в структуре ГСК имеют место выданные займы/полученные займы необходимо исключить данные суммы из строки</w:t>
      </w:r>
      <w:r>
        <w:rPr>
          <w:rFonts w:ascii="Times New Roman" w:hAnsi="Times New Roman" w:cs="Times New Roman"/>
          <w:sz w:val="24"/>
          <w:szCs w:val="24"/>
        </w:rPr>
        <w:t xml:space="preserve"> проценты к получению/ проценты к уплате; </w:t>
      </w:r>
    </w:p>
    <w:p w:rsidR="008E774E" w:rsidRDefault="00F7701E">
      <w:pPr>
        <w:pStyle w:val="afa"/>
        <w:numPr>
          <w:ilvl w:val="0"/>
          <w:numId w:val="18"/>
        </w:numPr>
        <w:spacing w:line="28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если, в составе доходов компании ГСК име</w:t>
      </w:r>
      <w:r>
        <w:rPr>
          <w:rFonts w:ascii="Times New Roman" w:eastAsia="Times New Roman" w:hAnsi="Times New Roman" w:cs="Times New Roman"/>
          <w:sz w:val="24"/>
          <w:szCs w:val="24"/>
        </w:rPr>
        <w:t>ет место доход от участия в капитале иной(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компаний ГСК, при формировании ОФР ГКС он подлежит исключению.</w:t>
      </w:r>
    </w:p>
    <w:p w:rsidR="008E774E" w:rsidRDefault="00F7701E">
      <w:pPr>
        <w:spacing w:before="283" w:line="283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5.4. </w:t>
      </w:r>
      <w:r>
        <w:rPr>
          <w:rFonts w:ascii="Times New Roman" w:hAnsi="Times New Roman" w:cs="Times New Roman"/>
          <w:sz w:val="24"/>
          <w:szCs w:val="24"/>
        </w:rPr>
        <w:t>При завершении формирования ОФР ГСК, совокупный  объем расхождений  по всем статьям  не должен составлять  более 10%  сформированного в процес</w:t>
      </w:r>
      <w:r>
        <w:rPr>
          <w:rFonts w:ascii="Times New Roman" w:hAnsi="Times New Roman" w:cs="Times New Roman"/>
          <w:sz w:val="24"/>
          <w:szCs w:val="24"/>
        </w:rPr>
        <w:t xml:space="preserve">се консолидации  размера  «прибыли от продаж»  или 1% «выручки» ГСК, в случае если значение показателя «уровень рентабельности  продаж» менее 10% или  имеет отрицательное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значение.При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превышении указанного показателя,  необходимо проведение анализа для выя</w:t>
      </w:r>
      <w:r>
        <w:rPr>
          <w:rFonts w:ascii="Times New Roman" w:hAnsi="Times New Roman" w:cs="Times New Roman"/>
          <w:sz w:val="24"/>
          <w:szCs w:val="24"/>
        </w:rPr>
        <w:t>снение причины, оказывающей существенное влияние на размер показателя и обоснование  возможности принятия/не принятия риска в указанной ситуации.</w:t>
      </w:r>
    </w:p>
    <w:p w:rsidR="008E774E" w:rsidRDefault="008E774E">
      <w:pPr>
        <w:spacing w:before="283"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774E" w:rsidRDefault="00F7701E">
      <w:pPr>
        <w:spacing w:before="283" w:line="283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5.Перечень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статей отчета о финансовых результатах и счетов учета, участвующих в формировании ОФР КФО ГСК пр</w:t>
      </w:r>
      <w:r>
        <w:rPr>
          <w:rFonts w:ascii="Times New Roman" w:eastAsia="Times New Roman" w:hAnsi="Times New Roman" w:cs="Times New Roman"/>
          <w:sz w:val="24"/>
          <w:szCs w:val="24"/>
        </w:rPr>
        <w:t>иведен в Приложении 2 к настоящей Методике.</w:t>
      </w:r>
    </w:p>
    <w:p w:rsidR="008E774E" w:rsidRDefault="008E774E">
      <w:pPr>
        <w:spacing w:before="283" w:line="28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774E" w:rsidRDefault="00F7701E">
      <w:pPr>
        <w:spacing w:before="283" w:line="283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6.Данные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внебалансовых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обязательствах ГСК, учитываемых в целях формирования КФО ГСК, принимаются в  размере общей суммы обязательств перед внешними контрагентами.</w:t>
      </w:r>
    </w:p>
    <w:p w:rsidR="008E774E" w:rsidRDefault="008E774E">
      <w:pPr>
        <w:spacing w:before="283" w:line="283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774E" w:rsidRDefault="00F7701E">
      <w:pPr>
        <w:spacing w:before="266" w:line="283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.По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факту завершения формирования КФО ГСК:</w:t>
      </w:r>
    </w:p>
    <w:p w:rsidR="008E774E" w:rsidRDefault="00F7701E">
      <w:pPr>
        <w:pStyle w:val="afa"/>
        <w:numPr>
          <w:ilvl w:val="0"/>
          <w:numId w:val="8"/>
        </w:numPr>
        <w:spacing w:before="266" w:line="28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определяется наличие расхождений в разрезе каждой статьи КФО ГСК сформированной Банком и предоставленной Клиентом;</w:t>
      </w:r>
    </w:p>
    <w:p w:rsidR="008E774E" w:rsidRDefault="00F7701E">
      <w:pPr>
        <w:pStyle w:val="afa"/>
        <w:numPr>
          <w:ilvl w:val="0"/>
          <w:numId w:val="8"/>
        </w:numPr>
        <w:spacing w:before="278" w:line="28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оценивается существенность выявленных расхождений и степень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 влияния статьи, по которой выявлено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отклонение, на оценку деятельности ГСК;</w:t>
      </w:r>
    </w:p>
    <w:p w:rsidR="008E774E" w:rsidRDefault="00F7701E">
      <w:pPr>
        <w:pStyle w:val="afa"/>
        <w:numPr>
          <w:ilvl w:val="0"/>
          <w:numId w:val="14"/>
        </w:numPr>
        <w:spacing w:before="283" w:line="283" w:lineRule="atLeas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проводится (при необходимости)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анализ  возможности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закрытия расхождений за счет иных статей баланса (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например, компания А в ГСК отражает сумму предоставленных займов по статье «финансовые вложения», а компания Б в Г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СК обязательства по указанным займам может отражать частично по 66 счету, частично по 60);</w:t>
      </w:r>
    </w:p>
    <w:p w:rsidR="008E774E" w:rsidRDefault="00F7701E">
      <w:pPr>
        <w:pStyle w:val="afa"/>
        <w:numPr>
          <w:ilvl w:val="0"/>
          <w:numId w:val="8"/>
        </w:numPr>
        <w:spacing w:before="283" w:line="28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случае, если  расхождение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между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КФО ГСК, сформированной Банком и КФО, предоставленной Клиентом </w:t>
      </w:r>
      <w:r>
        <w:rPr>
          <w:rFonts w:ascii="Times New Roman" w:hAnsi="Times New Roman" w:cs="Times New Roman"/>
          <w:sz w:val="24"/>
          <w:szCs w:val="24"/>
        </w:rPr>
        <w:t xml:space="preserve">по каждой из статей баланса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превышает 10%</w:t>
      </w:r>
      <w:r>
        <w:rPr>
          <w:rStyle w:val="af3"/>
          <w:rFonts w:ascii="Times New Roman" w:eastAsia="Times New Roman" w:hAnsi="Times New Roman" w:cs="Times New Roman"/>
          <w:sz w:val="24"/>
          <w:szCs w:val="24"/>
          <w:highlight w:val="white"/>
        </w:rPr>
        <w:footnoteReference w:id="14"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 учетом всей имеющейся информации, проводится дополнительный анализ и/или запрашивается информация/пояснения Клиента о причине расхождения, с последующим выполнением необходимых корректировок, учитывающих корректное отражение выявленной суммы  расхождени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я в КФО;</w:t>
      </w:r>
    </w:p>
    <w:p w:rsidR="008E774E" w:rsidRDefault="00F7701E">
      <w:pPr>
        <w:pStyle w:val="afa"/>
        <w:numPr>
          <w:ilvl w:val="0"/>
          <w:numId w:val="8"/>
        </w:numPr>
        <w:spacing w:before="283" w:line="28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если  выявленные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расхождения не превышают 10% в разрезе каждой статьи КФО ГСК, в комментариях к формату сформированной консолидированной отчетности должно быть приведено обоснование о незначительности влияния данного расхождения на общую оценку ф</w:t>
      </w:r>
      <w:r>
        <w:rPr>
          <w:rFonts w:ascii="Times New Roman" w:eastAsia="Times New Roman" w:hAnsi="Times New Roman" w:cs="Times New Roman"/>
          <w:sz w:val="24"/>
          <w:szCs w:val="24"/>
        </w:rPr>
        <w:t>инансово-хозяйственной  деятельности ГСК;</w:t>
      </w:r>
    </w:p>
    <w:p w:rsidR="008E774E" w:rsidRDefault="00F7701E">
      <w:pPr>
        <w:pStyle w:val="afa"/>
        <w:numPr>
          <w:ilvl w:val="0"/>
          <w:numId w:val="8"/>
        </w:numPr>
        <w:spacing w:before="283" w:line="28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совокупный  объем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расхождений  по всем статьям баланса не должен составлять  более 10%  сформированного в процессе консолидации  размера ЧА ГСК, при этом,  если  размер ЧА ГСК менее 10%  размера ВБ ГСК,  объем расх</w:t>
      </w:r>
      <w:r>
        <w:rPr>
          <w:rFonts w:ascii="Times New Roman" w:hAnsi="Times New Roman" w:cs="Times New Roman"/>
          <w:sz w:val="24"/>
          <w:szCs w:val="24"/>
        </w:rPr>
        <w:t xml:space="preserve">ождений не должен составлять  более 1% ВБ ГСК  . </w:t>
      </w:r>
    </w:p>
    <w:p w:rsidR="008E774E" w:rsidRDefault="00F7701E">
      <w:pPr>
        <w:pStyle w:val="afa"/>
        <w:numPr>
          <w:ilvl w:val="0"/>
          <w:numId w:val="8"/>
        </w:numPr>
        <w:spacing w:before="283" w:line="28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совокупный  объем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расхождений  по  статьям ОФР КФО ГСК  не должен составлять  более 10%  показателя «прибыли от продаж» за соответствующий период, или 1% «выручки» ГСК, в случае если значение показателя «ур</w:t>
      </w:r>
      <w:r>
        <w:rPr>
          <w:rFonts w:ascii="Times New Roman" w:hAnsi="Times New Roman" w:cs="Times New Roman"/>
          <w:sz w:val="24"/>
          <w:szCs w:val="24"/>
        </w:rPr>
        <w:t xml:space="preserve">овень рентабельности  продаж» менее 10% или  имеет отрицательное значение. </w:t>
      </w:r>
    </w:p>
    <w:p w:rsidR="008E774E" w:rsidRDefault="00F7701E">
      <w:pPr>
        <w:pStyle w:val="afa"/>
        <w:numPr>
          <w:ilvl w:val="0"/>
          <w:numId w:val="8"/>
        </w:numPr>
        <w:spacing w:before="283" w:line="28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превышении указанных выше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показателей,  необходимо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проведение анализа для выяснение причин, оказывающих существенное влияние на размер показателя и обоснование  возможности при</w:t>
      </w:r>
      <w:r>
        <w:rPr>
          <w:rFonts w:ascii="Times New Roman" w:hAnsi="Times New Roman" w:cs="Times New Roman"/>
          <w:sz w:val="24"/>
          <w:szCs w:val="24"/>
        </w:rPr>
        <w:t>нятия/не принятия риска в указанной ситуации.</w:t>
      </w:r>
    </w:p>
    <w:p w:rsidR="008E774E" w:rsidRDefault="00F7701E">
      <w:pPr>
        <w:spacing w:line="283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5.8. Сформированная КФО ГСК, направляется на согласование Клиенту. </w:t>
      </w:r>
    </w:p>
    <w:p w:rsidR="008E774E" w:rsidRDefault="008E774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 w:line="283" w:lineRule="atLeast"/>
        <w:ind w:left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774E" w:rsidRDefault="00F770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 w:line="283" w:lineRule="atLeast"/>
        <w:ind w:left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6. Заключительные положения.</w:t>
      </w:r>
    </w:p>
    <w:p w:rsidR="008E774E" w:rsidRDefault="008E774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 w:line="283" w:lineRule="atLeast"/>
        <w:ind w:left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774E" w:rsidRDefault="00F770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 w:line="283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1.По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факту завершения  процесса консолидации, данные КФО ГСК и информация:</w:t>
      </w:r>
    </w:p>
    <w:p w:rsidR="008E774E" w:rsidRDefault="00F7701E">
      <w:pPr>
        <w:pStyle w:val="afa"/>
        <w:numPr>
          <w:ilvl w:val="0"/>
          <w:numId w:val="1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 w:line="283" w:lineRule="atLeast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принятом подходе при формировании КФО ГСК</w:t>
      </w:r>
      <w:r>
        <w:rPr>
          <w:rStyle w:val="af3"/>
          <w:rFonts w:ascii="Times New Roman" w:eastAsia="Times New Roman" w:hAnsi="Times New Roman" w:cs="Times New Roman"/>
          <w:sz w:val="24"/>
          <w:szCs w:val="24"/>
        </w:rPr>
        <w:footnoteReference w:id="15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обоснованием причин и особенностей примененных/допущенных  подходов/отклонений от принципов и правил настоящей Методики;</w:t>
      </w:r>
    </w:p>
    <w:p w:rsidR="008E774E" w:rsidRDefault="00F7701E">
      <w:pPr>
        <w:pStyle w:val="afa"/>
        <w:numPr>
          <w:ilvl w:val="0"/>
          <w:numId w:val="1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 w:line="28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наличии/отсутствии расхождений;</w:t>
      </w:r>
    </w:p>
    <w:p w:rsidR="008E774E" w:rsidRDefault="00F7701E">
      <w:pPr>
        <w:pStyle w:val="afa"/>
        <w:numPr>
          <w:ilvl w:val="0"/>
          <w:numId w:val="1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 w:line="28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размере выявленных расхождений (при наличии), выполн</w:t>
      </w:r>
      <w:r>
        <w:rPr>
          <w:rFonts w:ascii="Times New Roman" w:eastAsia="Times New Roman" w:hAnsi="Times New Roman" w:cs="Times New Roman"/>
          <w:sz w:val="24"/>
          <w:szCs w:val="24"/>
        </w:rPr>
        <w:t>енных корректировках, комментариях и обосновании их выполнения;</w:t>
      </w:r>
    </w:p>
    <w:p w:rsidR="008E774E" w:rsidRDefault="00F7701E">
      <w:pPr>
        <w:pStyle w:val="afa"/>
        <w:numPr>
          <w:ilvl w:val="0"/>
          <w:numId w:val="1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 w:line="28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факте согласования/несогласования Клиентом сформированной Банком КФО ГСК,</w:t>
      </w:r>
    </w:p>
    <w:p w:rsidR="008E774E" w:rsidRDefault="00F770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 w:line="283" w:lineRule="atLeast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отражается в формате КФО ГСК, с последующим переносом данных в заключение подразделения анализа,  для оценки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ГСК как единого хозяйствующего субъекта, отражающего финансово-хозяйственные отношения взаимосвязанных компаний группы с третьими лицами (внешними контрагентами), характеризующего имущественное и финансовое положение ГСК на отчетную дату и финансовые резу</w:t>
      </w:r>
      <w:r>
        <w:rPr>
          <w:rFonts w:ascii="Times New Roman" w:eastAsia="Times New Roman" w:hAnsi="Times New Roman" w:cs="Times New Roman"/>
          <w:sz w:val="24"/>
          <w:szCs w:val="24"/>
        </w:rPr>
        <w:t>льтаты её деятельности за отчётный период, в соответствии с требованиями и подходами Методики  анализа и оценки,  и/или использования на этапах кредитного процесса в соответствии с действующими нормативными документами Банка/решением УОБ ГО</w:t>
      </w:r>
    </w:p>
    <w:p w:rsidR="008E774E" w:rsidRDefault="008E774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 w:line="283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774E" w:rsidRDefault="00F770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 w:line="283" w:lineRule="atLeast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6.2. Формат 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ФО ГСК предусмотренный настоящей Методикой, обеспечивает последующий процесс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трансформации  данных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 заключение ПА, размещаемое в пакет документов для рассмотрения вопроса на УОБ.</w:t>
      </w:r>
    </w:p>
    <w:p w:rsidR="008E774E" w:rsidRDefault="008E774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 w:line="283" w:lineRule="atLeast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8E774E" w:rsidRDefault="008E774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774E" w:rsidRDefault="008E774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774E" w:rsidRDefault="008E774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774E" w:rsidRDefault="008E774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774E" w:rsidRDefault="008E774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774E" w:rsidRDefault="008E774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774E" w:rsidRDefault="008E774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774E" w:rsidRDefault="008E774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774E" w:rsidRDefault="008E774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774E" w:rsidRDefault="008E774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774E" w:rsidRDefault="008E774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774E" w:rsidRDefault="008E774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774E" w:rsidRDefault="008E774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774E" w:rsidRDefault="008E774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774E" w:rsidRDefault="008E774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774E" w:rsidRDefault="008E774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774E" w:rsidRDefault="008E774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774E" w:rsidRDefault="008E774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774E" w:rsidRDefault="008E774E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774E" w:rsidRDefault="008E774E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774E" w:rsidRDefault="00F7701E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Приложение 1</w:t>
      </w:r>
    </w:p>
    <w:p w:rsidR="008E774E" w:rsidRDefault="00F7701E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Перечень статей бухгалтерского баланса и счетов учета, участвующих в исключении остатков внутригрупповых операций</w:t>
      </w:r>
    </w:p>
    <w:tbl>
      <w:tblPr>
        <w:tblStyle w:val="af"/>
        <w:tblW w:w="0" w:type="auto"/>
        <w:tblInd w:w="-851" w:type="dxa"/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1560"/>
        <w:gridCol w:w="3826"/>
      </w:tblGrid>
      <w:tr w:rsidR="008E774E">
        <w:trPr>
          <w:trHeight w:val="985"/>
        </w:trPr>
        <w:tc>
          <w:tcPr>
            <w:tcW w:w="2409" w:type="dxa"/>
            <w:vAlign w:val="center"/>
          </w:tcPr>
          <w:p w:rsidR="008E774E" w:rsidRDefault="00F7701E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Статья актива бухгалтерского баланса Компании 1</w:t>
            </w:r>
          </w:p>
        </w:tc>
        <w:tc>
          <w:tcPr>
            <w:tcW w:w="2409" w:type="dxa"/>
            <w:vAlign w:val="center"/>
          </w:tcPr>
          <w:p w:rsidR="008E774E" w:rsidRDefault="00F7701E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Статья пассива бухгалтерского баланса Компании 2</w:t>
            </w:r>
          </w:p>
        </w:tc>
        <w:tc>
          <w:tcPr>
            <w:tcW w:w="1560" w:type="dxa"/>
            <w:vAlign w:val="center"/>
          </w:tcPr>
          <w:p w:rsidR="008E774E" w:rsidRDefault="00F7701E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Пары счетов Компании 1 и Компании 2</w:t>
            </w:r>
          </w:p>
        </w:tc>
        <w:tc>
          <w:tcPr>
            <w:tcW w:w="3826" w:type="dxa"/>
            <w:vAlign w:val="center"/>
          </w:tcPr>
          <w:p w:rsidR="008E774E" w:rsidRDefault="00F7701E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Особенности учета и исключения остатков внутригрупповых операций в активе  бухгалтерского баланса</w:t>
            </w:r>
          </w:p>
        </w:tc>
      </w:tr>
      <w:tr w:rsidR="008E774E">
        <w:trPr>
          <w:trHeight w:val="643"/>
        </w:trPr>
        <w:tc>
          <w:tcPr>
            <w:tcW w:w="2409" w:type="dxa"/>
            <w:vMerge w:val="restart"/>
            <w:vAlign w:val="center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Основные средства </w:t>
            </w:r>
          </w:p>
        </w:tc>
        <w:tc>
          <w:tcPr>
            <w:tcW w:w="2409" w:type="dxa"/>
            <w:vMerge w:val="restart"/>
            <w:vAlign w:val="center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Основные средства/</w:t>
            </w:r>
          </w:p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долгосрочные обязательства</w:t>
            </w:r>
          </w:p>
        </w:tc>
        <w:tc>
          <w:tcPr>
            <w:tcW w:w="1560" w:type="dxa"/>
            <w:vMerge w:val="restart"/>
            <w:vAlign w:val="center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Д03 (Арендодатель)/01 (Арендатор) – К76</w:t>
            </w:r>
          </w:p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6" w:type="dxa"/>
            <w:vMerge w:val="restart"/>
            <w:vAlign w:val="center"/>
          </w:tcPr>
          <w:p w:rsidR="008E774E" w:rsidRDefault="00F7701E">
            <w:pPr>
              <w:widowControl w:val="0"/>
              <w:spacing w:after="8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счет 03 является информативным, т.к. сумма ОС у арендодателя и арендатора не будет совпадать (ввиду того, что аренда может быть заключена на меньший срок полезного использования ОС и арендатор при постановке на баланс ОС ставит его в размере дисконтированн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ых арендных платежей, а не фактической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стоимости</w:t>
            </w:r>
            <w:r>
              <w:rPr>
                <w:rFonts w:ascii="Verdana" w:eastAsia="Verdana" w:hAnsi="Verdana" w:cs="Verdana"/>
                <w:color w:val="000000"/>
                <w:sz w:val="20"/>
                <w:highlight w:val="white"/>
              </w:rPr>
              <w:t>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наличии внутригрупповой аренды элиминируются данные по всем счетам учета только 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арендополучателя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 учетом подходов при выявлении у него расхождений п.5.2.2 настоящей Методики. </w:t>
            </w:r>
          </w:p>
          <w:p w:rsidR="008E774E" w:rsidRDefault="00F7701E">
            <w:pPr>
              <w:widowControl w:val="0"/>
              <w:spacing w:after="8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справочно:1.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при ситуации, когда у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одной компании основное средство будет отражаться  на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забалансовом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 xml:space="preserve"> учете, а у другой на счетах балансового учета,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задвоения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 xml:space="preserve"> по ОС не  возникает  и "чистка" по ОС не нужна.</w:t>
            </w:r>
          </w:p>
        </w:tc>
      </w:tr>
      <w:tr w:rsidR="008E774E">
        <w:tc>
          <w:tcPr>
            <w:tcW w:w="2409" w:type="dxa"/>
            <w:vMerge w:val="restart"/>
            <w:vAlign w:val="center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Финансовые вложения (долгосрочные)</w:t>
            </w:r>
          </w:p>
          <w:p w:rsidR="008E774E" w:rsidRDefault="008E774E">
            <w:pPr>
              <w:rPr>
                <w:sz w:val="18"/>
                <w:szCs w:val="18"/>
              </w:rPr>
            </w:pPr>
          </w:p>
          <w:p w:rsidR="008E774E" w:rsidRDefault="008E774E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Уставный капитал/Добавоч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ный капитал</w:t>
            </w:r>
          </w:p>
        </w:tc>
        <w:tc>
          <w:tcPr>
            <w:tcW w:w="1560" w:type="dxa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Д58 – К80/83</w:t>
            </w:r>
          </w:p>
        </w:tc>
        <w:tc>
          <w:tcPr>
            <w:tcW w:w="3826" w:type="dxa"/>
            <w:vMerge w:val="restart"/>
          </w:tcPr>
          <w:p w:rsidR="008E774E" w:rsidRDefault="00F7701E">
            <w:pPr>
              <w:widowControl w:val="0"/>
              <w:spacing w:after="8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Исключение внутригрупповых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требований  происходит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 основании дебетовых сальдо на конец периода с уровня субконто «Контрагенты» по счету 58.</w:t>
            </w:r>
          </w:p>
          <w:p w:rsidR="008E774E" w:rsidRDefault="00F7701E">
            <w:pPr>
              <w:widowControl w:val="0"/>
              <w:spacing w:after="8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Особое внимание необходимо уделять принципам ведения бухгалтерского учета в компании. Обя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зательства контрагентов компании, находясь на одном и том же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субсчете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в ОСВ компании могут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отражаться  как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составе строки баланса «Долгосрочные финансовые вложения», так и в строке «Краткосрочные финансовые вложения».</w:t>
            </w:r>
          </w:p>
          <w:p w:rsidR="008E774E" w:rsidRDefault="008E774E">
            <w:pPr>
              <w:widowControl w:val="0"/>
              <w:spacing w:after="8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E774E">
        <w:tc>
          <w:tcPr>
            <w:tcW w:w="2409" w:type="dxa"/>
            <w:vMerge/>
          </w:tcPr>
          <w:p w:rsidR="008E774E" w:rsidRDefault="008E774E"/>
        </w:tc>
        <w:tc>
          <w:tcPr>
            <w:tcW w:w="2409" w:type="dxa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Заемные средства (долгосрочные)</w:t>
            </w:r>
          </w:p>
        </w:tc>
        <w:tc>
          <w:tcPr>
            <w:tcW w:w="1560" w:type="dxa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Д58 – К67</w:t>
            </w:r>
          </w:p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6" w:type="dxa"/>
            <w:vMerge/>
          </w:tcPr>
          <w:p w:rsidR="008E774E" w:rsidRDefault="008E774E"/>
        </w:tc>
      </w:tr>
      <w:tr w:rsidR="008E774E">
        <w:trPr>
          <w:trHeight w:val="253"/>
        </w:trPr>
        <w:tc>
          <w:tcPr>
            <w:tcW w:w="2409" w:type="dxa"/>
            <w:vMerge/>
          </w:tcPr>
          <w:p w:rsidR="008E774E" w:rsidRDefault="008E774E"/>
        </w:tc>
        <w:tc>
          <w:tcPr>
            <w:tcW w:w="2409" w:type="dxa"/>
            <w:vMerge w:val="restart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Заемные средства (краткосрочные)</w:t>
            </w:r>
          </w:p>
        </w:tc>
        <w:tc>
          <w:tcPr>
            <w:tcW w:w="1560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Д58 – К66</w:t>
            </w:r>
          </w:p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Д58 – К67 (в части задолженности &lt;12 мес.)</w:t>
            </w:r>
          </w:p>
        </w:tc>
        <w:tc>
          <w:tcPr>
            <w:tcW w:w="3826" w:type="dxa"/>
            <w:vMerge/>
          </w:tcPr>
          <w:p w:rsidR="008E774E" w:rsidRDefault="008E774E"/>
        </w:tc>
      </w:tr>
      <w:tr w:rsidR="008E774E">
        <w:tc>
          <w:tcPr>
            <w:tcW w:w="2409" w:type="dxa"/>
            <w:vMerge/>
          </w:tcPr>
          <w:p w:rsidR="008E774E" w:rsidRDefault="008E774E"/>
        </w:tc>
        <w:tc>
          <w:tcPr>
            <w:tcW w:w="2409" w:type="dxa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Кредиторская задолженность (Прочие кредиторы)</w:t>
            </w:r>
          </w:p>
        </w:tc>
        <w:tc>
          <w:tcPr>
            <w:tcW w:w="1560" w:type="dxa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Д58 – К76</w:t>
            </w:r>
          </w:p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6" w:type="dxa"/>
            <w:vMerge/>
          </w:tcPr>
          <w:p w:rsidR="008E774E" w:rsidRDefault="008E774E"/>
        </w:tc>
      </w:tr>
      <w:tr w:rsidR="008E774E">
        <w:trPr>
          <w:trHeight w:val="230"/>
        </w:trPr>
        <w:tc>
          <w:tcPr>
            <w:tcW w:w="2409" w:type="dxa"/>
            <w:vMerge w:val="restart"/>
            <w:vAlign w:val="center"/>
          </w:tcPr>
          <w:p w:rsidR="008E774E" w:rsidRDefault="00F7701E">
            <w:pPr>
              <w:widowControl w:val="0"/>
              <w:spacing w:after="8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Финансовые вложения (краткосрочные)</w:t>
            </w:r>
          </w:p>
          <w:p w:rsidR="008E774E" w:rsidRDefault="008E774E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Заемные средства (долгосрочные)</w:t>
            </w:r>
          </w:p>
        </w:tc>
        <w:tc>
          <w:tcPr>
            <w:tcW w:w="1560" w:type="dxa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Д58 – К67</w:t>
            </w:r>
          </w:p>
        </w:tc>
        <w:tc>
          <w:tcPr>
            <w:tcW w:w="3826" w:type="dxa"/>
            <w:vMerge/>
          </w:tcPr>
          <w:p w:rsidR="008E774E" w:rsidRDefault="008E774E"/>
        </w:tc>
      </w:tr>
      <w:tr w:rsidR="008E774E">
        <w:trPr>
          <w:trHeight w:val="253"/>
        </w:trPr>
        <w:tc>
          <w:tcPr>
            <w:tcW w:w="2409" w:type="dxa"/>
            <w:vMerge/>
          </w:tcPr>
          <w:p w:rsidR="008E774E" w:rsidRDefault="008E774E"/>
        </w:tc>
        <w:tc>
          <w:tcPr>
            <w:tcW w:w="2409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Заемные средства (краткосрочные)</w:t>
            </w:r>
          </w:p>
        </w:tc>
        <w:tc>
          <w:tcPr>
            <w:tcW w:w="1560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Д58 – К66</w:t>
            </w:r>
          </w:p>
        </w:tc>
        <w:tc>
          <w:tcPr>
            <w:tcW w:w="3826" w:type="dxa"/>
            <w:vMerge/>
          </w:tcPr>
          <w:p w:rsidR="008E774E" w:rsidRDefault="008E774E"/>
        </w:tc>
      </w:tr>
      <w:tr w:rsidR="008E774E">
        <w:tc>
          <w:tcPr>
            <w:tcW w:w="2409" w:type="dxa"/>
            <w:vMerge/>
          </w:tcPr>
          <w:p w:rsidR="008E774E" w:rsidRDefault="008E774E"/>
        </w:tc>
        <w:tc>
          <w:tcPr>
            <w:tcW w:w="2409" w:type="dxa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Кредиторская задолженность (Прочие кредиторы)</w:t>
            </w:r>
          </w:p>
        </w:tc>
        <w:tc>
          <w:tcPr>
            <w:tcW w:w="1560" w:type="dxa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Д58 – К76</w:t>
            </w:r>
          </w:p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6" w:type="dxa"/>
            <w:vMerge/>
          </w:tcPr>
          <w:p w:rsidR="008E774E" w:rsidRDefault="008E774E"/>
        </w:tc>
      </w:tr>
      <w:tr w:rsidR="008E774E">
        <w:tc>
          <w:tcPr>
            <w:tcW w:w="2409" w:type="dxa"/>
            <w:vMerge w:val="restart"/>
            <w:vAlign w:val="center"/>
          </w:tcPr>
          <w:p w:rsidR="008E774E" w:rsidRDefault="00F7701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Прочие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внеоборотные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активы (выданные авансы и предоплаты, связанные со строительством объектов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внеоборотных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активов)</w:t>
            </w:r>
          </w:p>
          <w:p w:rsidR="008E774E" w:rsidRDefault="008E7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9" w:type="dxa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Кредиторская задолженность (Расчеты с покупателями и заказчиками)</w:t>
            </w:r>
          </w:p>
        </w:tc>
        <w:tc>
          <w:tcPr>
            <w:tcW w:w="1560" w:type="dxa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Д60 – К62</w:t>
            </w:r>
          </w:p>
        </w:tc>
        <w:tc>
          <w:tcPr>
            <w:tcW w:w="3826" w:type="dxa"/>
          </w:tcPr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E774E">
        <w:tc>
          <w:tcPr>
            <w:tcW w:w="2409" w:type="dxa"/>
            <w:vMerge/>
          </w:tcPr>
          <w:p w:rsidR="008E774E" w:rsidRDefault="008E774E"/>
        </w:tc>
        <w:tc>
          <w:tcPr>
            <w:tcW w:w="2409" w:type="dxa"/>
            <w:vMerge w:val="restart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Прочие долгосрочные обязательства (в части авансов и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предоплат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полученных от покупателей и заказчиков)</w:t>
            </w:r>
          </w:p>
        </w:tc>
        <w:tc>
          <w:tcPr>
            <w:tcW w:w="1560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Д60 – К62</w:t>
            </w:r>
          </w:p>
        </w:tc>
        <w:tc>
          <w:tcPr>
            <w:tcW w:w="3826" w:type="dxa"/>
          </w:tcPr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E774E">
        <w:tc>
          <w:tcPr>
            <w:tcW w:w="2409" w:type="dxa"/>
            <w:vMerge w:val="restart"/>
            <w:vAlign w:val="center"/>
          </w:tcPr>
          <w:p w:rsidR="008E774E" w:rsidRDefault="00F7701E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Дебиторская задолженность (Расчеты с покупателями и заказчиками)</w:t>
            </w:r>
          </w:p>
          <w:p w:rsidR="008E774E" w:rsidRDefault="008E774E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Кредиторская задолженность (Расчеты с поставщиками и подрядчиками)</w:t>
            </w:r>
          </w:p>
        </w:tc>
        <w:tc>
          <w:tcPr>
            <w:tcW w:w="1560" w:type="dxa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Д62,76 – К60</w:t>
            </w:r>
          </w:p>
        </w:tc>
        <w:tc>
          <w:tcPr>
            <w:tcW w:w="3826" w:type="dxa"/>
            <w:vMerge w:val="restart"/>
          </w:tcPr>
          <w:p w:rsidR="008E774E" w:rsidRDefault="00F7701E">
            <w:pPr>
              <w:widowControl w:val="0"/>
              <w:spacing w:after="8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Исключение внутригрупповых требований происходит на основании дебетовых сальдо на конец периода с уровня субко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нто «Контрагенты» по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субсчетам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62.01, 62.03,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62.21, 62.31 и прочим валютным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субсчетам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создание которых не регламентировано ФСБУ/ПБУ.</w:t>
            </w:r>
          </w:p>
          <w:p w:rsidR="008E774E" w:rsidRDefault="00F7701E">
            <w:pPr>
              <w:widowControl w:val="0"/>
              <w:spacing w:after="8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 редких случаях в данной строке баланса будет отражаться задолженность по дебетовому сальдо на конец периода по счету 76.</w:t>
            </w:r>
          </w:p>
          <w:p w:rsidR="008E774E" w:rsidRDefault="00F7701E">
            <w:pPr>
              <w:widowControl w:val="0"/>
              <w:spacing w:after="8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8E774E">
        <w:trPr>
          <w:trHeight w:val="3060"/>
        </w:trPr>
        <w:tc>
          <w:tcPr>
            <w:tcW w:w="2409" w:type="dxa"/>
            <w:vMerge/>
          </w:tcPr>
          <w:p w:rsidR="008E774E" w:rsidRDefault="008E774E"/>
        </w:tc>
        <w:tc>
          <w:tcPr>
            <w:tcW w:w="2409" w:type="dxa"/>
            <w:vMerge w:val="restart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обязательства</w:t>
            </w:r>
          </w:p>
        </w:tc>
        <w:tc>
          <w:tcPr>
            <w:tcW w:w="1560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Д62,76 – К76</w:t>
            </w:r>
          </w:p>
        </w:tc>
        <w:tc>
          <w:tcPr>
            <w:tcW w:w="3826" w:type="dxa"/>
            <w:vMerge/>
          </w:tcPr>
          <w:p w:rsidR="008E774E" w:rsidRDefault="008E774E"/>
        </w:tc>
      </w:tr>
      <w:tr w:rsidR="008E774E">
        <w:trPr>
          <w:trHeight w:val="292"/>
        </w:trPr>
        <w:tc>
          <w:tcPr>
            <w:tcW w:w="2409" w:type="dxa"/>
            <w:vMerge w:val="restart"/>
            <w:vAlign w:val="center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Дебиторская задолженность (Расчеты с поставщиками и подрядчиками)</w:t>
            </w:r>
          </w:p>
          <w:p w:rsidR="008E774E" w:rsidRDefault="008E774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9" w:type="dxa"/>
            <w:vMerge w:val="restart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Кредиторская задолженность (Расчеты с покупателями и заказчиками)</w:t>
            </w:r>
          </w:p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Д60,76 – K62 (взаимные авансы и предоплаты)</w:t>
            </w:r>
          </w:p>
        </w:tc>
        <w:tc>
          <w:tcPr>
            <w:tcW w:w="3826" w:type="dxa"/>
            <w:vMerge w:val="restart"/>
          </w:tcPr>
          <w:p w:rsidR="008E774E" w:rsidRDefault="00F7701E">
            <w:pPr>
              <w:widowControl w:val="0"/>
              <w:spacing w:after="8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Исключение внутригрупповых требований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происходит на основании дебетовых сальдо на конец периода с уровня субконто «Контрагенты» по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субсчетам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60.02, 60.22, 60.32 и прочим валютным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субсчетам,создание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которых не регламентировано ФСБУ/ПБУ.</w:t>
            </w:r>
          </w:p>
          <w:p w:rsidR="008E774E" w:rsidRDefault="00F7701E">
            <w:pPr>
              <w:widowControl w:val="0"/>
              <w:spacing w:after="8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 редких случаях в данной строке баланса будет отражаться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задолженность по дебетовым сальдо на конец периода по счету 76.</w:t>
            </w:r>
          </w:p>
        </w:tc>
      </w:tr>
      <w:tr w:rsidR="008E774E">
        <w:trPr>
          <w:trHeight w:val="253"/>
        </w:trPr>
        <w:tc>
          <w:tcPr>
            <w:tcW w:w="2409" w:type="dxa"/>
            <w:vMerge/>
            <w:vAlign w:val="center"/>
          </w:tcPr>
          <w:p w:rsidR="008E774E" w:rsidRDefault="008E774E"/>
        </w:tc>
        <w:tc>
          <w:tcPr>
            <w:tcW w:w="2409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обязательства (краткосрочные)</w:t>
            </w:r>
          </w:p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Д60 – К76.ВА </w:t>
            </w:r>
          </w:p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6" w:type="dxa"/>
            <w:vMerge w:val="restart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Исключение НДС по авансам и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предоплатам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выданным Компании 2.</w:t>
            </w:r>
          </w:p>
        </w:tc>
      </w:tr>
      <w:tr w:rsidR="008E774E">
        <w:trPr>
          <w:trHeight w:val="207"/>
        </w:trPr>
        <w:tc>
          <w:tcPr>
            <w:tcW w:w="2409" w:type="dxa"/>
            <w:vMerge w:val="restart"/>
            <w:vAlign w:val="center"/>
          </w:tcPr>
          <w:p w:rsidR="008E774E" w:rsidRDefault="00F7701E">
            <w:pPr>
              <w:widowControl w:val="0"/>
              <w:spacing w:after="8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Дебиторская задолженность (П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рочие дебиторы)</w:t>
            </w:r>
          </w:p>
          <w:p w:rsidR="008E774E" w:rsidRDefault="008E774E">
            <w:pPr>
              <w:rPr>
                <w:sz w:val="18"/>
                <w:szCs w:val="18"/>
              </w:rPr>
            </w:pPr>
          </w:p>
          <w:p w:rsidR="008E774E" w:rsidRDefault="008E774E">
            <w:pPr>
              <w:rPr>
                <w:sz w:val="18"/>
                <w:szCs w:val="18"/>
              </w:rPr>
            </w:pPr>
          </w:p>
          <w:p w:rsidR="008E774E" w:rsidRDefault="008E774E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vMerge w:val="restart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Кредиторская задолженность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кредиторы)</w:t>
            </w:r>
          </w:p>
        </w:tc>
        <w:tc>
          <w:tcPr>
            <w:tcW w:w="1560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Д76 – К76</w:t>
            </w:r>
          </w:p>
        </w:tc>
        <w:tc>
          <w:tcPr>
            <w:tcW w:w="3826" w:type="dxa"/>
            <w:vMerge w:val="restart"/>
          </w:tcPr>
          <w:p w:rsidR="008E774E" w:rsidRDefault="00F7701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Исключение внутригрупповых требований происходит на основании дебетовых сальдо на конец периода с уровня субконто «Контрагенты» по счету 76.</w:t>
            </w:r>
          </w:p>
          <w:p w:rsidR="008E774E" w:rsidRDefault="00F7701E">
            <w:pPr>
              <w:widowControl w:val="0"/>
              <w:spacing w:after="8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Прочих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дебиторах отражаются выданные беспроцентные займы (учитываются по дебету сче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та 76), которые, как правило, являются внутригрупповыми и требуют взаимной очистки.</w:t>
            </w:r>
          </w:p>
          <w:p w:rsidR="008E774E" w:rsidRDefault="00F7701E">
            <w:pPr>
              <w:jc w:val="both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при наличии у компании заключенных договоров о доверительном управлении имуществом или договоров целевого финансирования, необходимо проведения анализа счетов 79 и 86</w:t>
            </w:r>
          </w:p>
        </w:tc>
      </w:tr>
      <w:tr w:rsidR="008E774E">
        <w:trPr>
          <w:trHeight w:val="253"/>
        </w:trPr>
        <w:tc>
          <w:tcPr>
            <w:tcW w:w="2409" w:type="dxa"/>
            <w:vMerge/>
          </w:tcPr>
          <w:p w:rsidR="008E774E" w:rsidRDefault="008E774E"/>
        </w:tc>
        <w:tc>
          <w:tcPr>
            <w:tcW w:w="2409" w:type="dxa"/>
            <w:vMerge w:val="restart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Кре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диторская задолженность (Расчеты с поставщиками и подрядчиками)</w:t>
            </w:r>
          </w:p>
        </w:tc>
        <w:tc>
          <w:tcPr>
            <w:tcW w:w="1560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Д76 – К60</w:t>
            </w:r>
          </w:p>
        </w:tc>
        <w:tc>
          <w:tcPr>
            <w:tcW w:w="3826" w:type="dxa"/>
            <w:vMerge/>
          </w:tcPr>
          <w:p w:rsidR="008E774E" w:rsidRDefault="008E774E"/>
        </w:tc>
      </w:tr>
      <w:tr w:rsidR="008E774E">
        <w:trPr>
          <w:trHeight w:val="253"/>
        </w:trPr>
        <w:tc>
          <w:tcPr>
            <w:tcW w:w="2409" w:type="dxa"/>
            <w:vMerge/>
          </w:tcPr>
          <w:p w:rsidR="008E774E" w:rsidRDefault="008E774E"/>
        </w:tc>
        <w:tc>
          <w:tcPr>
            <w:tcW w:w="2409" w:type="dxa"/>
            <w:vMerge w:val="restart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Заемные средства (долгосрочные)</w:t>
            </w:r>
          </w:p>
        </w:tc>
        <w:tc>
          <w:tcPr>
            <w:tcW w:w="1560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Д76 – К67</w:t>
            </w:r>
          </w:p>
        </w:tc>
        <w:tc>
          <w:tcPr>
            <w:tcW w:w="3826" w:type="dxa"/>
            <w:vMerge/>
          </w:tcPr>
          <w:p w:rsidR="008E774E" w:rsidRDefault="008E774E"/>
        </w:tc>
      </w:tr>
      <w:tr w:rsidR="008E774E">
        <w:trPr>
          <w:trHeight w:val="253"/>
        </w:trPr>
        <w:tc>
          <w:tcPr>
            <w:tcW w:w="2409" w:type="dxa"/>
            <w:vMerge/>
          </w:tcPr>
          <w:p w:rsidR="008E774E" w:rsidRDefault="008E774E"/>
        </w:tc>
        <w:tc>
          <w:tcPr>
            <w:tcW w:w="2409" w:type="dxa"/>
            <w:vMerge w:val="restart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Заемные средства (краткосрочные)</w:t>
            </w:r>
          </w:p>
        </w:tc>
        <w:tc>
          <w:tcPr>
            <w:tcW w:w="1560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Д76 – К66</w:t>
            </w:r>
          </w:p>
        </w:tc>
        <w:tc>
          <w:tcPr>
            <w:tcW w:w="3826" w:type="dxa"/>
            <w:vMerge/>
          </w:tcPr>
          <w:p w:rsidR="008E774E" w:rsidRDefault="008E774E"/>
        </w:tc>
      </w:tr>
      <w:tr w:rsidR="008E774E">
        <w:trPr>
          <w:trHeight w:val="253"/>
        </w:trPr>
        <w:tc>
          <w:tcPr>
            <w:tcW w:w="2409" w:type="dxa"/>
            <w:vMerge/>
          </w:tcPr>
          <w:p w:rsidR="008E774E" w:rsidRDefault="008E774E"/>
        </w:tc>
        <w:tc>
          <w:tcPr>
            <w:tcW w:w="2409" w:type="dxa"/>
            <w:vMerge w:val="restart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обязательства (краткосрочные)</w:t>
            </w:r>
          </w:p>
        </w:tc>
        <w:tc>
          <w:tcPr>
            <w:tcW w:w="1560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Д76 – К76</w:t>
            </w:r>
          </w:p>
        </w:tc>
        <w:tc>
          <w:tcPr>
            <w:tcW w:w="3826" w:type="dxa"/>
            <w:vMerge/>
          </w:tcPr>
          <w:p w:rsidR="008E774E" w:rsidRDefault="008E774E"/>
        </w:tc>
      </w:tr>
      <w:tr w:rsidR="008E774E">
        <w:trPr>
          <w:trHeight w:val="844"/>
        </w:trPr>
        <w:tc>
          <w:tcPr>
            <w:tcW w:w="2409" w:type="dxa"/>
            <w:vMerge w:val="restart"/>
            <w:vAlign w:val="center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оборотные активы</w:t>
            </w:r>
          </w:p>
        </w:tc>
        <w:tc>
          <w:tcPr>
            <w:tcW w:w="2409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Кредиторская задолженность (Расчеты с покупателями и заказчиками).</w:t>
            </w:r>
          </w:p>
        </w:tc>
        <w:tc>
          <w:tcPr>
            <w:tcW w:w="1560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Д76.АВ – К62</w:t>
            </w:r>
          </w:p>
        </w:tc>
        <w:tc>
          <w:tcPr>
            <w:tcW w:w="3826" w:type="dxa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Исключение НДС по авансам и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предоплатам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полученным от Компании 2 (в случае отражения в Прочих оборотных активах).</w:t>
            </w:r>
          </w:p>
        </w:tc>
      </w:tr>
    </w:tbl>
    <w:p w:rsidR="008E774E" w:rsidRDefault="008E774E"/>
    <w:tbl>
      <w:tblPr>
        <w:tblStyle w:val="af"/>
        <w:tblW w:w="0" w:type="auto"/>
        <w:tblInd w:w="-851" w:type="dxa"/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1559"/>
        <w:gridCol w:w="3827"/>
      </w:tblGrid>
      <w:tr w:rsidR="008E774E">
        <w:tc>
          <w:tcPr>
            <w:tcW w:w="2409" w:type="dxa"/>
          </w:tcPr>
          <w:p w:rsidR="008E774E" w:rsidRDefault="00F7701E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Статья пассива бухгалтерского баланса Компании 1</w:t>
            </w:r>
          </w:p>
        </w:tc>
        <w:tc>
          <w:tcPr>
            <w:tcW w:w="2409" w:type="dxa"/>
          </w:tcPr>
          <w:p w:rsidR="008E774E" w:rsidRDefault="00F7701E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Статья актива бухгалтерского баланса Компании 2</w:t>
            </w:r>
          </w:p>
        </w:tc>
        <w:tc>
          <w:tcPr>
            <w:tcW w:w="1559" w:type="dxa"/>
          </w:tcPr>
          <w:p w:rsidR="008E774E" w:rsidRDefault="00F7701E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Пары счетов Компании 1 и Компании 2</w:t>
            </w:r>
          </w:p>
        </w:tc>
        <w:tc>
          <w:tcPr>
            <w:tcW w:w="3827" w:type="dxa"/>
          </w:tcPr>
          <w:p w:rsidR="008E774E" w:rsidRDefault="00F7701E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Особенности учета и исключения остатков внутригрупповых операций в пассиве бухгалтерского баланса</w:t>
            </w:r>
          </w:p>
        </w:tc>
      </w:tr>
      <w:tr w:rsidR="008E774E">
        <w:tc>
          <w:tcPr>
            <w:tcW w:w="2409" w:type="dxa"/>
            <w:vAlign w:val="center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Уставный капитал/Добавочный капитал</w:t>
            </w:r>
          </w:p>
        </w:tc>
        <w:tc>
          <w:tcPr>
            <w:tcW w:w="2409" w:type="dxa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Финансовые вложения (долгосрочные)</w:t>
            </w:r>
          </w:p>
        </w:tc>
        <w:tc>
          <w:tcPr>
            <w:tcW w:w="1559" w:type="dxa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К80/83 – Д58</w:t>
            </w:r>
          </w:p>
        </w:tc>
        <w:tc>
          <w:tcPr>
            <w:tcW w:w="3827" w:type="dxa"/>
          </w:tcPr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E774E">
        <w:tc>
          <w:tcPr>
            <w:tcW w:w="2409" w:type="dxa"/>
            <w:vMerge w:val="restart"/>
            <w:vAlign w:val="center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Заемные средства (долгосрочные)</w:t>
            </w:r>
          </w:p>
          <w:p w:rsidR="008E774E" w:rsidRDefault="008E774E">
            <w:pPr>
              <w:rPr>
                <w:sz w:val="18"/>
                <w:szCs w:val="18"/>
              </w:rPr>
            </w:pPr>
          </w:p>
          <w:p w:rsidR="008E774E" w:rsidRDefault="008E774E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Финансовые вложения (долгосрочные)</w:t>
            </w:r>
          </w:p>
        </w:tc>
        <w:tc>
          <w:tcPr>
            <w:tcW w:w="1559" w:type="dxa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К67 – Д58</w:t>
            </w:r>
          </w:p>
        </w:tc>
        <w:tc>
          <w:tcPr>
            <w:tcW w:w="3827" w:type="dxa"/>
            <w:vMerge w:val="restart"/>
          </w:tcPr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E774E">
        <w:tc>
          <w:tcPr>
            <w:tcW w:w="2409" w:type="dxa"/>
            <w:vMerge/>
          </w:tcPr>
          <w:p w:rsidR="008E774E" w:rsidRDefault="008E774E"/>
        </w:tc>
        <w:tc>
          <w:tcPr>
            <w:tcW w:w="2409" w:type="dxa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Финансовые вложения (краткосрочные)</w:t>
            </w:r>
          </w:p>
        </w:tc>
        <w:tc>
          <w:tcPr>
            <w:tcW w:w="1559" w:type="dxa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К67 – Д58</w:t>
            </w:r>
          </w:p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Merge/>
          </w:tcPr>
          <w:p w:rsidR="008E774E" w:rsidRDefault="008E774E"/>
        </w:tc>
      </w:tr>
      <w:tr w:rsidR="008E774E">
        <w:trPr>
          <w:trHeight w:val="418"/>
        </w:trPr>
        <w:tc>
          <w:tcPr>
            <w:tcW w:w="2409" w:type="dxa"/>
            <w:vMerge/>
          </w:tcPr>
          <w:p w:rsidR="008E774E" w:rsidRDefault="008E774E"/>
        </w:tc>
        <w:tc>
          <w:tcPr>
            <w:tcW w:w="2409" w:type="dxa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Дебиторская задолженность (П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рочие дебиторы)</w:t>
            </w:r>
          </w:p>
        </w:tc>
        <w:tc>
          <w:tcPr>
            <w:tcW w:w="1559" w:type="dxa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К67 – Д76</w:t>
            </w:r>
          </w:p>
          <w:p w:rsidR="008E774E" w:rsidRDefault="008E774E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  <w:vMerge/>
          </w:tcPr>
          <w:p w:rsidR="008E774E" w:rsidRDefault="008E774E"/>
        </w:tc>
      </w:tr>
      <w:tr w:rsidR="008E774E">
        <w:tc>
          <w:tcPr>
            <w:tcW w:w="2409" w:type="dxa"/>
            <w:vMerge w:val="restart"/>
            <w:vAlign w:val="center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долгосрочные обязательства</w:t>
            </w:r>
          </w:p>
        </w:tc>
        <w:tc>
          <w:tcPr>
            <w:tcW w:w="2409" w:type="dxa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Прочие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внеоборотные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активы (выданные авансы и предоплаты, связанные со строительством объектов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внеоборотных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активов)</w:t>
            </w:r>
          </w:p>
        </w:tc>
        <w:tc>
          <w:tcPr>
            <w:tcW w:w="1559" w:type="dxa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К62 – Д60</w:t>
            </w:r>
          </w:p>
          <w:p w:rsidR="008E774E" w:rsidRDefault="008E774E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Исключение взаимных авансов и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предоплат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полученных и выданных, связанных со строительством объектов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внеоборотных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средств.</w:t>
            </w:r>
          </w:p>
        </w:tc>
      </w:tr>
      <w:tr w:rsidR="008E774E">
        <w:trPr>
          <w:trHeight w:val="253"/>
        </w:trPr>
        <w:tc>
          <w:tcPr>
            <w:tcW w:w="2409" w:type="dxa"/>
            <w:vMerge/>
            <w:vAlign w:val="center"/>
          </w:tcPr>
          <w:p w:rsidR="008E774E" w:rsidRDefault="008E774E"/>
        </w:tc>
        <w:tc>
          <w:tcPr>
            <w:tcW w:w="2409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Основные средства </w:t>
            </w:r>
          </w:p>
        </w:tc>
        <w:tc>
          <w:tcPr>
            <w:tcW w:w="1559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К76 – Д01/03</w:t>
            </w:r>
          </w:p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К86 - Д76,58,97</w:t>
            </w:r>
          </w:p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Merge w:val="restart"/>
          </w:tcPr>
          <w:p w:rsidR="008E774E" w:rsidRDefault="00F7701E">
            <w:pPr>
              <w:widowControl w:val="0"/>
              <w:spacing w:after="8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lastRenderedPageBreak/>
              <w:t xml:space="preserve">счет 03 является информативным, т.к. сумма ОС у арендодателя и арендатора не будет совпадать (ввиду того, что аренда может быть заключена на меньший срок полезного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lastRenderedPageBreak/>
              <w:t>использования ОС и арендатор п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ри постановке на баланс ОС ставит его в размере дисконтированных арендных платежей, а не фактической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стоимости</w:t>
            </w:r>
            <w:r>
              <w:rPr>
                <w:rFonts w:ascii="Verdana" w:eastAsia="Verdana" w:hAnsi="Verdana" w:cs="Verdana"/>
                <w:color w:val="000000"/>
                <w:sz w:val="20"/>
                <w:highlight w:val="white"/>
              </w:rPr>
              <w:t>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наличии внутригрупповой аренды элиминируются данные по всем счетам учета только 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арендополучателя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с учетом подходов при выявлении у него рас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хождений п.5.2.2 настоящей Методики. </w:t>
            </w:r>
          </w:p>
          <w:p w:rsidR="008E774E" w:rsidRDefault="008E774E">
            <w:pPr>
              <w:widowControl w:val="0"/>
              <w:spacing w:after="8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E774E" w:rsidRDefault="00F7701E">
            <w:pPr>
              <w:widowControl w:val="0"/>
              <w:spacing w:after="8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При наличии у компании «целевого /безвозмездного» финансирования, необходимо проведение анализа счета 86</w:t>
            </w:r>
          </w:p>
        </w:tc>
      </w:tr>
      <w:tr w:rsidR="008E774E">
        <w:tc>
          <w:tcPr>
            <w:tcW w:w="2409" w:type="dxa"/>
            <w:vMerge w:val="restart"/>
            <w:vAlign w:val="center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Заемные средства (краткосрочные)</w:t>
            </w:r>
          </w:p>
        </w:tc>
        <w:tc>
          <w:tcPr>
            <w:tcW w:w="2409" w:type="dxa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Финансовые вложения (долгосрочные)</w:t>
            </w:r>
          </w:p>
        </w:tc>
        <w:tc>
          <w:tcPr>
            <w:tcW w:w="1559" w:type="dxa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К66 – Д58</w:t>
            </w:r>
          </w:p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К67 – Д58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(в части задолженности &lt;12 мес.)</w:t>
            </w:r>
          </w:p>
          <w:p w:rsidR="008E774E" w:rsidRDefault="008E774E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  <w:vMerge w:val="restart"/>
          </w:tcPr>
          <w:p w:rsidR="008E774E" w:rsidRDefault="00F7701E">
            <w:pPr>
              <w:widowControl w:val="0"/>
              <w:spacing w:after="8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Исключение внутригрупповых обязательств происходит на основании кредитовых сальдо на конец периода с уровня субконто «Контрагенты» по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субсчетам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66.01, 66.03 и пр., как правило, нечетных счетов, создание которых не регламен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тировано ФСБУ/ПБУ.</w:t>
            </w:r>
          </w:p>
          <w:p w:rsidR="008E774E" w:rsidRDefault="00F7701E">
            <w:pPr>
              <w:widowControl w:val="0"/>
              <w:spacing w:after="8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 четных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субсчетах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счета 66 отражаются начисленные, но неуплаченные проценты, которые могут находиться как в составе строки «Долгосрочные кредиты и займы», так и в составе строки «Краткосрочные кредиты и займы».</w:t>
            </w:r>
          </w:p>
        </w:tc>
      </w:tr>
      <w:tr w:rsidR="008E774E">
        <w:tc>
          <w:tcPr>
            <w:tcW w:w="2409" w:type="dxa"/>
            <w:vMerge/>
          </w:tcPr>
          <w:p w:rsidR="008E774E" w:rsidRDefault="008E774E"/>
        </w:tc>
        <w:tc>
          <w:tcPr>
            <w:tcW w:w="2409" w:type="dxa"/>
          </w:tcPr>
          <w:p w:rsidR="008E774E" w:rsidRDefault="00F7701E">
            <w:pPr>
              <w:widowControl w:val="0"/>
              <w:spacing w:after="8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Финансовые вложения (краткосрочные)</w:t>
            </w:r>
          </w:p>
        </w:tc>
        <w:tc>
          <w:tcPr>
            <w:tcW w:w="1559" w:type="dxa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К66 – Д58</w:t>
            </w:r>
          </w:p>
        </w:tc>
        <w:tc>
          <w:tcPr>
            <w:tcW w:w="3827" w:type="dxa"/>
            <w:vMerge/>
          </w:tcPr>
          <w:p w:rsidR="008E774E" w:rsidRDefault="008E774E"/>
        </w:tc>
      </w:tr>
      <w:tr w:rsidR="008E774E">
        <w:trPr>
          <w:trHeight w:val="253"/>
        </w:trPr>
        <w:tc>
          <w:tcPr>
            <w:tcW w:w="2409" w:type="dxa"/>
            <w:vMerge/>
          </w:tcPr>
          <w:p w:rsidR="008E774E" w:rsidRDefault="008E774E"/>
        </w:tc>
        <w:tc>
          <w:tcPr>
            <w:tcW w:w="2409" w:type="dxa"/>
            <w:vMerge w:val="restart"/>
          </w:tcPr>
          <w:p w:rsidR="008E774E" w:rsidRDefault="00F7701E">
            <w:pPr>
              <w:widowControl w:val="0"/>
              <w:spacing w:after="8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Дебиторская задолженность (П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рочие дебиторы)</w:t>
            </w:r>
          </w:p>
        </w:tc>
        <w:tc>
          <w:tcPr>
            <w:tcW w:w="1559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К66 – Д76</w:t>
            </w:r>
          </w:p>
        </w:tc>
        <w:tc>
          <w:tcPr>
            <w:tcW w:w="3827" w:type="dxa"/>
            <w:vMerge/>
          </w:tcPr>
          <w:p w:rsidR="008E774E" w:rsidRDefault="008E774E"/>
        </w:tc>
      </w:tr>
      <w:tr w:rsidR="008E774E">
        <w:tc>
          <w:tcPr>
            <w:tcW w:w="2409" w:type="dxa"/>
            <w:vMerge w:val="restart"/>
            <w:vAlign w:val="center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Кредиторская задолженность (Расчеты с поставщиками и подрядчиками)</w:t>
            </w:r>
          </w:p>
        </w:tc>
        <w:tc>
          <w:tcPr>
            <w:tcW w:w="2409" w:type="dxa"/>
            <w:vMerge w:val="restart"/>
          </w:tcPr>
          <w:p w:rsidR="008E774E" w:rsidRDefault="00F7701E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Дебиторская задолженность (Расчеты с покупателями и заказчиками)</w:t>
            </w:r>
          </w:p>
        </w:tc>
        <w:tc>
          <w:tcPr>
            <w:tcW w:w="1559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К60,76 – Д62,76</w:t>
            </w:r>
          </w:p>
        </w:tc>
        <w:tc>
          <w:tcPr>
            <w:tcW w:w="3827" w:type="dxa"/>
          </w:tcPr>
          <w:p w:rsidR="008E774E" w:rsidRDefault="00F7701E">
            <w:pPr>
              <w:widowControl w:val="0"/>
              <w:spacing w:after="8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Исключение внутригрупповых обязательств происходит на основании кредитовых сальдо на конец периода с уровня субконто «Контрагенты» по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субсчетам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60.01, 60.03, 60.21, 60.31 и прочим валютным счетам, создание которых не регламентировано ФСБУ/ПБУ.</w:t>
            </w:r>
          </w:p>
          <w:p w:rsidR="008E774E" w:rsidRDefault="00F7701E">
            <w:pPr>
              <w:widowControl w:val="0"/>
              <w:spacing w:after="8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 редких слу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чаях в данной строке баланса будет отражаться задолженность по кредитовым сальдо на конец периода по счету 76.</w:t>
            </w:r>
          </w:p>
        </w:tc>
      </w:tr>
      <w:tr w:rsidR="008E774E">
        <w:trPr>
          <w:trHeight w:val="207"/>
        </w:trPr>
        <w:tc>
          <w:tcPr>
            <w:tcW w:w="2409" w:type="dxa"/>
            <w:vMerge w:val="restart"/>
            <w:vAlign w:val="center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Кредиторская задолженность (Расчеты с покупателями и заказчиками)</w:t>
            </w:r>
          </w:p>
          <w:p w:rsidR="008E774E" w:rsidRDefault="008E774E">
            <w:pPr>
              <w:rPr>
                <w:sz w:val="18"/>
                <w:szCs w:val="18"/>
              </w:rPr>
            </w:pPr>
          </w:p>
          <w:p w:rsidR="008E774E" w:rsidRDefault="008E774E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vMerge w:val="restart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Дебиторская задолженность (Расчеты с поставщиками и подрядчиками)</w:t>
            </w:r>
          </w:p>
        </w:tc>
        <w:tc>
          <w:tcPr>
            <w:tcW w:w="1559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K62,76 –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Д60,76 (взаимные авансы и предоплаты)</w:t>
            </w:r>
          </w:p>
          <w:p w:rsidR="008E774E" w:rsidRDefault="008E774E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  <w:vMerge w:val="restart"/>
          </w:tcPr>
          <w:p w:rsidR="008E774E" w:rsidRDefault="00F7701E">
            <w:pPr>
              <w:widowControl w:val="0"/>
              <w:spacing w:after="8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Исключение внутригрупповых обязательств происходит на основании кредитовых сальдо на конец периода с уровня субконто «Контрагенты» по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субсчетам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62.02, 62.22, 62.32 и прочим валютным счетам, создание которых не регламе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нтировано ФСБУ/ПБУ.</w:t>
            </w:r>
          </w:p>
          <w:p w:rsidR="008E774E" w:rsidRDefault="00F7701E">
            <w:pPr>
              <w:widowControl w:val="0"/>
              <w:spacing w:after="8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 редких случаях в данной строке баланса будет отражаться задолженность по кредитовым сальдо на конец периода по счету 76.</w:t>
            </w:r>
          </w:p>
        </w:tc>
      </w:tr>
      <w:tr w:rsidR="008E774E">
        <w:trPr>
          <w:trHeight w:val="253"/>
        </w:trPr>
        <w:tc>
          <w:tcPr>
            <w:tcW w:w="2409" w:type="dxa"/>
            <w:vMerge/>
          </w:tcPr>
          <w:p w:rsidR="008E774E" w:rsidRDefault="008E774E"/>
        </w:tc>
        <w:tc>
          <w:tcPr>
            <w:tcW w:w="2409" w:type="dxa"/>
            <w:vMerge w:val="restart"/>
          </w:tcPr>
          <w:p w:rsidR="008E774E" w:rsidRDefault="00F7701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Прочие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внеоборотные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активы (выданные авансы и предоплаты, связанные со строительством объектов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внеоборотных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активов)</w:t>
            </w:r>
          </w:p>
        </w:tc>
        <w:tc>
          <w:tcPr>
            <w:tcW w:w="1559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К62,76 – Д60</w:t>
            </w:r>
          </w:p>
          <w:p w:rsidR="008E774E" w:rsidRDefault="008E774E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  <w:vMerge/>
          </w:tcPr>
          <w:p w:rsidR="008E774E" w:rsidRDefault="008E774E"/>
        </w:tc>
      </w:tr>
      <w:tr w:rsidR="008E774E">
        <w:trPr>
          <w:trHeight w:val="253"/>
        </w:trPr>
        <w:tc>
          <w:tcPr>
            <w:tcW w:w="2409" w:type="dxa"/>
            <w:vMerge/>
          </w:tcPr>
          <w:p w:rsidR="008E774E" w:rsidRDefault="008E774E"/>
        </w:tc>
        <w:tc>
          <w:tcPr>
            <w:tcW w:w="2409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оборотные активы</w:t>
            </w:r>
          </w:p>
        </w:tc>
        <w:tc>
          <w:tcPr>
            <w:tcW w:w="1559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К62 – Д76.АВ  (исключение НДС по авансам и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предоплатам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полученным)</w:t>
            </w:r>
          </w:p>
        </w:tc>
        <w:tc>
          <w:tcPr>
            <w:tcW w:w="3827" w:type="dxa"/>
            <w:vMerge/>
          </w:tcPr>
          <w:p w:rsidR="008E774E" w:rsidRDefault="008E774E"/>
        </w:tc>
      </w:tr>
      <w:tr w:rsidR="008E774E">
        <w:trPr>
          <w:trHeight w:val="207"/>
        </w:trPr>
        <w:tc>
          <w:tcPr>
            <w:tcW w:w="2409" w:type="dxa"/>
            <w:vMerge w:val="restart"/>
            <w:vAlign w:val="center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Кредиторская задолженность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рочие кредиторы)</w:t>
            </w:r>
          </w:p>
          <w:p w:rsidR="008E774E" w:rsidRDefault="008E774E">
            <w:pPr>
              <w:rPr>
                <w:sz w:val="18"/>
                <w:szCs w:val="18"/>
              </w:rPr>
            </w:pPr>
          </w:p>
          <w:p w:rsidR="008E774E" w:rsidRDefault="008E774E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vMerge w:val="restart"/>
          </w:tcPr>
          <w:p w:rsidR="008E774E" w:rsidRDefault="00F7701E">
            <w:pPr>
              <w:widowControl w:val="0"/>
              <w:spacing w:after="8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Финансовые вложения (краткосрочные)</w:t>
            </w:r>
          </w:p>
        </w:tc>
        <w:tc>
          <w:tcPr>
            <w:tcW w:w="1559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К76 – Д58</w:t>
            </w:r>
          </w:p>
          <w:p w:rsidR="008E774E" w:rsidRDefault="008E774E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  <w:vMerge w:val="restart"/>
          </w:tcPr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E774E">
        <w:trPr>
          <w:trHeight w:val="253"/>
        </w:trPr>
        <w:tc>
          <w:tcPr>
            <w:tcW w:w="2409" w:type="dxa"/>
            <w:vMerge/>
          </w:tcPr>
          <w:p w:rsidR="008E774E" w:rsidRDefault="008E774E"/>
        </w:tc>
        <w:tc>
          <w:tcPr>
            <w:tcW w:w="2409" w:type="dxa"/>
            <w:vMerge w:val="restart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Финансовые вложения (долгосрочные)</w:t>
            </w:r>
          </w:p>
        </w:tc>
        <w:tc>
          <w:tcPr>
            <w:tcW w:w="1559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К76 – Д58</w:t>
            </w:r>
          </w:p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Merge/>
          </w:tcPr>
          <w:p w:rsidR="008E774E" w:rsidRDefault="008E774E"/>
        </w:tc>
      </w:tr>
      <w:tr w:rsidR="008E774E">
        <w:trPr>
          <w:trHeight w:val="253"/>
        </w:trPr>
        <w:tc>
          <w:tcPr>
            <w:tcW w:w="2409" w:type="dxa"/>
            <w:vMerge/>
          </w:tcPr>
          <w:p w:rsidR="008E774E" w:rsidRDefault="008E774E"/>
        </w:tc>
        <w:tc>
          <w:tcPr>
            <w:tcW w:w="2409" w:type="dxa"/>
            <w:vMerge w:val="restart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Дебиторская задолженность (П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рочие дебиторы)</w:t>
            </w:r>
          </w:p>
        </w:tc>
        <w:tc>
          <w:tcPr>
            <w:tcW w:w="1559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К76 – Д76</w:t>
            </w:r>
          </w:p>
          <w:p w:rsidR="008E774E" w:rsidRDefault="008E774E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  <w:vMerge/>
          </w:tcPr>
          <w:p w:rsidR="008E774E" w:rsidRDefault="008E774E"/>
        </w:tc>
      </w:tr>
      <w:tr w:rsidR="008E774E">
        <w:trPr>
          <w:trHeight w:val="207"/>
        </w:trPr>
        <w:tc>
          <w:tcPr>
            <w:tcW w:w="2409" w:type="dxa"/>
            <w:vMerge w:val="restart"/>
            <w:vAlign w:val="center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обязательства (краткосрочные)</w:t>
            </w:r>
          </w:p>
          <w:p w:rsidR="008E774E" w:rsidRDefault="008E774E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vMerge w:val="restart"/>
          </w:tcPr>
          <w:p w:rsidR="008E774E" w:rsidRDefault="00F7701E">
            <w:pPr>
              <w:widowControl w:val="0"/>
              <w:spacing w:after="8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Дебиторская задолженность (П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рочие дебиторы)</w:t>
            </w:r>
          </w:p>
        </w:tc>
        <w:tc>
          <w:tcPr>
            <w:tcW w:w="1559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К76 – Д76</w:t>
            </w:r>
          </w:p>
          <w:p w:rsidR="008E774E" w:rsidRDefault="008E774E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При наличии у компании «целевого /безвозмездного» финансирования, необходимо проведение анализа счета 86</w:t>
            </w:r>
          </w:p>
        </w:tc>
      </w:tr>
      <w:tr w:rsidR="008E774E">
        <w:trPr>
          <w:trHeight w:val="253"/>
        </w:trPr>
        <w:tc>
          <w:tcPr>
            <w:tcW w:w="2409" w:type="dxa"/>
            <w:vMerge/>
          </w:tcPr>
          <w:p w:rsidR="008E774E" w:rsidRDefault="008E774E"/>
        </w:tc>
        <w:tc>
          <w:tcPr>
            <w:tcW w:w="2409" w:type="dxa"/>
            <w:vMerge w:val="restart"/>
          </w:tcPr>
          <w:p w:rsidR="008E774E" w:rsidRDefault="00F7701E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Дебиторская задолженность (Расчеты с поставщиками и подрядчиками)</w:t>
            </w:r>
          </w:p>
        </w:tc>
        <w:tc>
          <w:tcPr>
            <w:tcW w:w="1559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К76.ВА – Д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  (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исключение от НДС по авансам и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предоплатам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выданным)</w:t>
            </w:r>
          </w:p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К86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Д76,58,97</w:t>
            </w:r>
          </w:p>
        </w:tc>
        <w:tc>
          <w:tcPr>
            <w:tcW w:w="3827" w:type="dxa"/>
            <w:vMerge/>
          </w:tcPr>
          <w:p w:rsidR="008E774E" w:rsidRDefault="008E774E"/>
        </w:tc>
      </w:tr>
    </w:tbl>
    <w:p w:rsidR="008E774E" w:rsidRDefault="008E774E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774E" w:rsidRDefault="008E774E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774E" w:rsidRDefault="00F7701E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 2</w:t>
      </w:r>
    </w:p>
    <w:p w:rsidR="008E774E" w:rsidRDefault="00F7701E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Перечень статей отчета о финансовых результатах и счетов учета, участвующих в исключении внутригрупповых оборотов</w:t>
      </w:r>
    </w:p>
    <w:tbl>
      <w:tblPr>
        <w:tblStyle w:val="af"/>
        <w:tblW w:w="0" w:type="auto"/>
        <w:tblInd w:w="-709" w:type="dxa"/>
        <w:tblLayout w:type="fixed"/>
        <w:tblLook w:val="04A0" w:firstRow="1" w:lastRow="0" w:firstColumn="1" w:lastColumn="0" w:noHBand="0" w:noVBand="1"/>
      </w:tblPr>
      <w:tblGrid>
        <w:gridCol w:w="2835"/>
        <w:gridCol w:w="1984"/>
        <w:gridCol w:w="3260"/>
        <w:gridCol w:w="1984"/>
      </w:tblGrid>
      <w:tr w:rsidR="008E774E">
        <w:tc>
          <w:tcPr>
            <w:tcW w:w="2835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Статья ОФР</w:t>
            </w:r>
          </w:p>
        </w:tc>
        <w:tc>
          <w:tcPr>
            <w:tcW w:w="1984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Номер счета бухгалтерского учета Компании 1</w:t>
            </w:r>
          </w:p>
        </w:tc>
        <w:tc>
          <w:tcPr>
            <w:tcW w:w="3260" w:type="dxa"/>
            <w:vMerge w:val="restart"/>
          </w:tcPr>
          <w:p w:rsidR="008E774E" w:rsidRDefault="00F7701E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Цель использования</w:t>
            </w:r>
          </w:p>
        </w:tc>
        <w:tc>
          <w:tcPr>
            <w:tcW w:w="1984" w:type="dxa"/>
          </w:tcPr>
          <w:p w:rsidR="008E774E" w:rsidRDefault="00F7701E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Номер счет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 бухгалтерского учета Компании 2</w:t>
            </w:r>
          </w:p>
        </w:tc>
      </w:tr>
      <w:tr w:rsidR="008E774E">
        <w:tc>
          <w:tcPr>
            <w:tcW w:w="2835" w:type="dxa"/>
            <w:vMerge w:val="restart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Выручка</w:t>
            </w:r>
            <w:r>
              <w:rPr>
                <w:rStyle w:val="af3"/>
                <w:rFonts w:ascii="Times New Roman" w:eastAsia="Times New Roman" w:hAnsi="Times New Roman" w:cs="Times New Roman"/>
                <w:sz w:val="18"/>
                <w:szCs w:val="18"/>
              </w:rPr>
              <w:footnoteReference w:id="16"/>
            </w:r>
          </w:p>
        </w:tc>
        <w:tc>
          <w:tcPr>
            <w:tcW w:w="1984" w:type="dxa"/>
            <w:vMerge w:val="restart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Дебетовый оборот по счетам 62, 76</w:t>
            </w:r>
            <w:r>
              <w:rPr>
                <w:rStyle w:val="af3"/>
                <w:rFonts w:ascii="Times New Roman" w:eastAsia="Times New Roman" w:hAnsi="Times New Roman" w:cs="Times New Roman"/>
                <w:sz w:val="18"/>
                <w:szCs w:val="18"/>
              </w:rPr>
              <w:footnoteReference w:id="17"/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 ( ОСВ/карточка счета 90.1)</w:t>
            </w:r>
          </w:p>
        </w:tc>
        <w:tc>
          <w:tcPr>
            <w:tcW w:w="3260" w:type="dxa"/>
            <w:vMerge w:val="restart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Для исключения взаимных оборотов «в парах»:</w:t>
            </w:r>
          </w:p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Выручка ─ Себестоимость продаж;</w:t>
            </w:r>
          </w:p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Выручка ─ Коммерческие расходы</w:t>
            </w:r>
          </w:p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Выручка ─ Управленческие расходы</w:t>
            </w:r>
          </w:p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Выручка –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Прочие расходы.</w:t>
            </w:r>
          </w:p>
        </w:tc>
        <w:tc>
          <w:tcPr>
            <w:tcW w:w="1984" w:type="dxa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Кредитовый оборот по счетам 60, 76. </w:t>
            </w:r>
          </w:p>
        </w:tc>
      </w:tr>
      <w:tr w:rsidR="008E774E">
        <w:tc>
          <w:tcPr>
            <w:tcW w:w="2835" w:type="dxa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Себестоимость продаж/ Коммерческие и управленческие расходы </w:t>
            </w:r>
          </w:p>
        </w:tc>
        <w:tc>
          <w:tcPr>
            <w:tcW w:w="1984" w:type="dxa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Кредитовый оборот по счетам 60, 76.</w:t>
            </w:r>
          </w:p>
        </w:tc>
        <w:tc>
          <w:tcPr>
            <w:tcW w:w="3260" w:type="dxa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Для исключения взаимных оборотов в паре: </w:t>
            </w:r>
          </w:p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Себестоимость продаж ─ Выручка.</w:t>
            </w:r>
          </w:p>
        </w:tc>
        <w:tc>
          <w:tcPr>
            <w:tcW w:w="1984" w:type="dxa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Дебетовый оборот по счетам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62, 76.</w:t>
            </w:r>
          </w:p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E774E">
        <w:tc>
          <w:tcPr>
            <w:tcW w:w="2835" w:type="dxa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участия в других организациях</w:t>
            </w:r>
          </w:p>
        </w:tc>
        <w:tc>
          <w:tcPr>
            <w:tcW w:w="1984" w:type="dxa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Дебетовый оборот по счету 76.</w:t>
            </w:r>
          </w:p>
        </w:tc>
        <w:tc>
          <w:tcPr>
            <w:tcW w:w="3260" w:type="dxa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Для исключения внутригрупповых дивидендов.</w:t>
            </w:r>
          </w:p>
        </w:tc>
        <w:tc>
          <w:tcPr>
            <w:tcW w:w="1984" w:type="dxa"/>
          </w:tcPr>
          <w:p w:rsidR="008E774E" w:rsidRDefault="00F7701E">
            <w:pPr>
              <w:widowControl w:val="0"/>
              <w:spacing w:after="85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Кредитовый оборот по счету 76</w:t>
            </w:r>
          </w:p>
        </w:tc>
      </w:tr>
      <w:tr w:rsidR="008E774E">
        <w:tc>
          <w:tcPr>
            <w:tcW w:w="2835" w:type="dxa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 к получению</w:t>
            </w:r>
          </w:p>
        </w:tc>
        <w:tc>
          <w:tcPr>
            <w:tcW w:w="1984" w:type="dxa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Дебетовый оборот по счетам 76.</w:t>
            </w:r>
          </w:p>
        </w:tc>
        <w:tc>
          <w:tcPr>
            <w:tcW w:w="3260" w:type="dxa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Для исключения взаимных оборотов в парах:</w:t>
            </w:r>
          </w:p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 к получению ─ Проценты к уплате (при наличии взаимных Финансовых вложений – Займов).</w:t>
            </w:r>
          </w:p>
        </w:tc>
        <w:tc>
          <w:tcPr>
            <w:tcW w:w="1984" w:type="dxa"/>
          </w:tcPr>
          <w:p w:rsidR="008E774E" w:rsidRDefault="00F770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Кредитовый оборот по счетам 66, 67, 76.</w:t>
            </w:r>
          </w:p>
        </w:tc>
      </w:tr>
      <w:tr w:rsidR="008E774E">
        <w:tc>
          <w:tcPr>
            <w:tcW w:w="2835" w:type="dxa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 к уплате</w:t>
            </w:r>
          </w:p>
        </w:tc>
        <w:tc>
          <w:tcPr>
            <w:tcW w:w="1984" w:type="dxa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Кредитовый оборот по счетам 66, 67, 76.</w:t>
            </w:r>
          </w:p>
        </w:tc>
        <w:tc>
          <w:tcPr>
            <w:tcW w:w="3260" w:type="dxa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Для исключения взаимных оборотов в парах:</w:t>
            </w:r>
          </w:p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Проценты к получению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– Проценты к уплате (при наличии взаимных Займов ─ Финансовых вложений).</w:t>
            </w:r>
          </w:p>
        </w:tc>
        <w:tc>
          <w:tcPr>
            <w:tcW w:w="1984" w:type="dxa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Дебетовый оборот по счетам 76.</w:t>
            </w:r>
          </w:p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E774E">
        <w:tc>
          <w:tcPr>
            <w:tcW w:w="2835" w:type="dxa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доходы</w:t>
            </w:r>
          </w:p>
        </w:tc>
        <w:tc>
          <w:tcPr>
            <w:tcW w:w="1984" w:type="dxa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Кредитовый оборот по счету 76 (ОСВ/карточка счета 91)</w:t>
            </w:r>
          </w:p>
        </w:tc>
        <w:tc>
          <w:tcPr>
            <w:tcW w:w="3260" w:type="dxa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Для понимания состава Прочих доходов и последующего удаления взаимных оборотов в п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аре:</w:t>
            </w:r>
          </w:p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доходы – Прочие расходы.</w:t>
            </w:r>
          </w:p>
        </w:tc>
        <w:tc>
          <w:tcPr>
            <w:tcW w:w="1984" w:type="dxa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Дебетовый оборот по счету 76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 ОСВ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/Карточка счета 91)</w:t>
            </w:r>
          </w:p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E774E">
        <w:tc>
          <w:tcPr>
            <w:tcW w:w="2835" w:type="dxa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расходы</w:t>
            </w:r>
          </w:p>
        </w:tc>
        <w:tc>
          <w:tcPr>
            <w:tcW w:w="1984" w:type="dxa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Дебетовый оборот по счету 76 ( ОСВ/Карточка счета 91)</w:t>
            </w:r>
          </w:p>
        </w:tc>
        <w:tc>
          <w:tcPr>
            <w:tcW w:w="3260" w:type="dxa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Для понимания состава Прочих доходов и последующего удаления взаимных оборотов в паре:</w:t>
            </w:r>
          </w:p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расходы – Прочие доходы.</w:t>
            </w:r>
          </w:p>
        </w:tc>
        <w:tc>
          <w:tcPr>
            <w:tcW w:w="1984" w:type="dxa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Кредитовый оборот по счету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76( ОСВ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/Карточка счета 91)</w:t>
            </w:r>
          </w:p>
          <w:p w:rsidR="008E774E" w:rsidRDefault="008E77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8E774E" w:rsidRDefault="008E774E"/>
    <w:p w:rsidR="008E774E" w:rsidRDefault="00F7701E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Особенности консолидации статей отчета о финансовых результатах</w:t>
      </w:r>
    </w:p>
    <w:tbl>
      <w:tblPr>
        <w:tblStyle w:val="af"/>
        <w:tblW w:w="0" w:type="auto"/>
        <w:tblInd w:w="-709" w:type="dxa"/>
        <w:tblLayout w:type="fixed"/>
        <w:tblLook w:val="04A0" w:firstRow="1" w:lastRow="0" w:firstColumn="1" w:lastColumn="0" w:noHBand="0" w:noVBand="1"/>
      </w:tblPr>
      <w:tblGrid>
        <w:gridCol w:w="2835"/>
        <w:gridCol w:w="7229"/>
      </w:tblGrid>
      <w:tr w:rsidR="008E774E">
        <w:trPr>
          <w:trHeight w:val="619"/>
        </w:trPr>
        <w:tc>
          <w:tcPr>
            <w:tcW w:w="2835" w:type="dxa"/>
            <w:vAlign w:val="center"/>
          </w:tcPr>
          <w:p w:rsidR="008E774E" w:rsidRDefault="00F7701E">
            <w:pPr>
              <w:widowContro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Статьи ОФР</w:t>
            </w:r>
          </w:p>
        </w:tc>
        <w:tc>
          <w:tcPr>
            <w:tcW w:w="7229" w:type="dxa"/>
            <w:vAlign w:val="center"/>
          </w:tcPr>
          <w:p w:rsidR="008E774E" w:rsidRDefault="00F7701E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Особенности консолидации</w:t>
            </w:r>
          </w:p>
        </w:tc>
      </w:tr>
      <w:tr w:rsidR="008E774E">
        <w:trPr>
          <w:trHeight w:val="292"/>
        </w:trPr>
        <w:tc>
          <w:tcPr>
            <w:tcW w:w="2835" w:type="dxa"/>
            <w:vMerge w:val="restart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Выручка </w:t>
            </w:r>
          </w:p>
        </w:tc>
        <w:tc>
          <w:tcPr>
            <w:tcW w:w="7229" w:type="dxa"/>
            <w:vMerge w:val="restart"/>
          </w:tcPr>
          <w:p w:rsidR="008E774E" w:rsidRDefault="00F7701E">
            <w:pPr>
              <w:widowControl w:val="0"/>
              <w:spacing w:after="8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Исключение внутригрупповых оборотов из выручки должно происходить на уровне субъектов ГСК по сопоставимым периодам.</w:t>
            </w:r>
          </w:p>
          <w:p w:rsidR="008E774E" w:rsidRDefault="00F7701E">
            <w:pPr>
              <w:widowControl w:val="0"/>
              <w:spacing w:after="8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Исключение происходит на основании дебетовых оборотов с уровня субконто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«Контрагенты» по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субсчетам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62.01, 62.21, 62.31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 ОСВ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/кредитовых обор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отов по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субсчетам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90.1( карточка счета))и прочим валютным счетам, создание которых не регламентировано ФСБУ/ПБУ, уменьшенных на сумму НДС в составе дебетового оборота (с учетом средневзвешенной ставки НДС) и на сумму акцизов.</w:t>
            </w:r>
          </w:p>
          <w:p w:rsidR="008E774E" w:rsidRDefault="00F7701E">
            <w:pPr>
              <w:widowControl w:val="0"/>
              <w:spacing w:after="8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При построении консолидированн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ого ОФР работник ПА должен понимать структуру выручки, а именно: наличие выручки со стандартными и льготными ставками налогообложения (0%, 10%, 20%), выручки от точек, выручки в рамках операций между субъектами ГСК, выручки от реализации подакцизных товаро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в.</w:t>
            </w:r>
          </w:p>
          <w:p w:rsidR="008E774E" w:rsidRDefault="00F7701E">
            <w:pPr>
              <w:widowControl w:val="0"/>
              <w:spacing w:after="8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Формула выделения НДС из суммы товарооборота следующая: Оборот без НДС = Оборот с НДС / (1 +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СрВзСтавка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НДС/100%).</w:t>
            </w:r>
          </w:p>
          <w:p w:rsidR="008E774E" w:rsidRDefault="00F7701E">
            <w:pPr>
              <w:widowControl w:val="0"/>
              <w:spacing w:after="8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 работе субъектов ГСК по договорам комиссии выручка одного участника ГСК (комиссионера) элиминируется с коммерческими/управленческими р</w:t>
            </w:r>
            <w:r>
              <w:rPr>
                <w:rFonts w:ascii="Times New Roman" w:hAnsi="Times New Roman"/>
                <w:sz w:val="18"/>
                <w:szCs w:val="18"/>
              </w:rPr>
              <w:t>асходами другого участника ГСК (комитента) на сумму начисленной комиссии.</w:t>
            </w:r>
          </w:p>
        </w:tc>
      </w:tr>
      <w:tr w:rsidR="008E774E">
        <w:trPr>
          <w:trHeight w:val="292"/>
        </w:trPr>
        <w:tc>
          <w:tcPr>
            <w:tcW w:w="2835" w:type="dxa"/>
            <w:vMerge w:val="restart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Себестоимость </w:t>
            </w:r>
          </w:p>
        </w:tc>
        <w:tc>
          <w:tcPr>
            <w:tcW w:w="7229" w:type="dxa"/>
            <w:vMerge w:val="restart"/>
          </w:tcPr>
          <w:p w:rsidR="008E774E" w:rsidRDefault="00F7701E">
            <w:pPr>
              <w:widowControl w:val="0"/>
              <w:spacing w:after="8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Исключение внутригрупповых оборотов из себестоимости происходит в тех же суммах, что и по выручке, но в зеркальном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отражении.Исключение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происходит на основании кредит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овых оборотов с уровня субконто «Контрагенты» по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субсчетам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60.01, 60.21, 60.31 и прочим валютным счетам, создание которых не регламентировано ФСБУ/ПБУ, уменьшенных на сумму НДС в составе дебетового оборота (с учетом средневзвешенной ставки НДС).</w:t>
            </w:r>
          </w:p>
        </w:tc>
      </w:tr>
      <w:tr w:rsidR="008E774E">
        <w:trPr>
          <w:trHeight w:val="292"/>
        </w:trPr>
        <w:tc>
          <w:tcPr>
            <w:tcW w:w="2835" w:type="dxa"/>
            <w:vMerge w:val="restart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Проценты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 получению</w:t>
            </w:r>
          </w:p>
        </w:tc>
        <w:tc>
          <w:tcPr>
            <w:tcW w:w="7229" w:type="dxa"/>
            <w:vMerge w:val="restart"/>
          </w:tcPr>
          <w:p w:rsidR="008E774E" w:rsidRDefault="00F7701E">
            <w:pPr>
              <w:widowControl w:val="0"/>
              <w:spacing w:after="8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Исключение внутригрупповых оборотов происходит на основании дебетовых оборотов в периоде с уровня субконто «Контрагенты» по счету 76.</w:t>
            </w:r>
          </w:p>
          <w:p w:rsidR="008E774E" w:rsidRDefault="00F7701E">
            <w:pPr>
              <w:widowControl w:val="0"/>
              <w:spacing w:after="8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Однозначных правил отражения процентов к получению на конкретных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субсчетах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нет, поэтому работник ПА должен сам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остоятельно определить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субсчета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или контрагентов, которые должны исключаться из состава строки «Проценты к получению».</w:t>
            </w:r>
          </w:p>
        </w:tc>
      </w:tr>
      <w:tr w:rsidR="008E774E">
        <w:trPr>
          <w:trHeight w:val="292"/>
        </w:trPr>
        <w:tc>
          <w:tcPr>
            <w:tcW w:w="2835" w:type="dxa"/>
            <w:vMerge w:val="restart"/>
          </w:tcPr>
          <w:p w:rsidR="008E774E" w:rsidRDefault="00F7701E">
            <w:pPr>
              <w:widowControl w:val="0"/>
              <w:spacing w:after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 к уплате</w:t>
            </w:r>
          </w:p>
        </w:tc>
        <w:tc>
          <w:tcPr>
            <w:tcW w:w="7229" w:type="dxa"/>
            <w:vMerge w:val="restart"/>
          </w:tcPr>
          <w:p w:rsidR="008E774E" w:rsidRDefault="00F7701E">
            <w:pPr>
              <w:widowControl w:val="0"/>
              <w:spacing w:after="8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Исключение внутригрупповых оборотов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происходит на основании кредитовых оборотов по четным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субсчетам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определенных с уровня субконто «Контрагенты» счетов 66, 67, 76.</w:t>
            </w:r>
          </w:p>
        </w:tc>
      </w:tr>
    </w:tbl>
    <w:p w:rsidR="008E774E" w:rsidRDefault="008E774E"/>
    <w:p w:rsidR="008E774E" w:rsidRDefault="008E774E"/>
    <w:p w:rsidR="008E774E" w:rsidRDefault="008E774E"/>
    <w:sectPr w:rsidR="008E774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01E" w:rsidRDefault="00F7701E">
      <w:pPr>
        <w:spacing w:after="0" w:line="240" w:lineRule="auto"/>
      </w:pPr>
      <w:r>
        <w:separator/>
      </w:r>
    </w:p>
  </w:endnote>
  <w:endnote w:type="continuationSeparator" w:id="0">
    <w:p w:rsidR="00F7701E" w:rsidRDefault="00F77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01E" w:rsidRDefault="00F7701E">
      <w:pPr>
        <w:spacing w:after="0" w:line="240" w:lineRule="auto"/>
      </w:pPr>
      <w:r>
        <w:separator/>
      </w:r>
    </w:p>
  </w:footnote>
  <w:footnote w:type="continuationSeparator" w:id="0">
    <w:p w:rsidR="00F7701E" w:rsidRDefault="00F7701E">
      <w:pPr>
        <w:spacing w:after="0" w:line="240" w:lineRule="auto"/>
      </w:pPr>
      <w:r>
        <w:continuationSeparator/>
      </w:r>
    </w:p>
  </w:footnote>
  <w:footnote w:id="1">
    <w:p w:rsidR="008E774E" w:rsidRDefault="00F7701E">
      <w:pPr>
        <w:pStyle w:val="af1"/>
        <w:jc w:val="both"/>
        <w:rPr>
          <w:rFonts w:ascii="Times New Roman" w:hAnsi="Times New Roman" w:cs="Times New Roman"/>
          <w:szCs w:val="18"/>
        </w:rPr>
      </w:pPr>
      <w:r>
        <w:rPr>
          <w:rStyle w:val="af3"/>
          <w:rFonts w:ascii="Times New Roman" w:eastAsia="Times New Roman" w:hAnsi="Times New Roman" w:cs="Times New Roman"/>
          <w:szCs w:val="18"/>
        </w:rPr>
        <w:footnoteRef/>
      </w:r>
      <w:r>
        <w:rPr>
          <w:rStyle w:val="af3"/>
          <w:rFonts w:ascii="Times New Roman" w:eastAsia="Times New Roman" w:hAnsi="Times New Roman" w:cs="Times New Roman"/>
          <w:szCs w:val="18"/>
        </w:rPr>
        <w:t xml:space="preserve"> </w:t>
      </w:r>
      <w:r>
        <w:rPr>
          <w:rFonts w:ascii="Times New Roman" w:eastAsia="Times New Roman" w:hAnsi="Times New Roman" w:cs="Times New Roman"/>
          <w:szCs w:val="18"/>
        </w:rPr>
        <w:t xml:space="preserve">Настоящая Методика может быть применена в </w:t>
      </w:r>
      <w:r>
        <w:rPr>
          <w:rFonts w:ascii="Times New Roman" w:eastAsia="Times New Roman" w:hAnsi="Times New Roman" w:cs="Times New Roman"/>
          <w:szCs w:val="18"/>
        </w:rPr>
        <w:t xml:space="preserve">качестве основания для разработки бизнес требований к процессу автоматизации в рамках реализации проекта организации Автоматизированного рабочего места (АРМ). </w:t>
      </w:r>
    </w:p>
  </w:footnote>
  <w:footnote w:id="2">
    <w:p w:rsidR="008E774E" w:rsidRDefault="00F7701E">
      <w:pPr>
        <w:pStyle w:val="af1"/>
        <w:jc w:val="both"/>
        <w:rPr>
          <w:rFonts w:ascii="Times New Roman" w:hAnsi="Times New Roman" w:cs="Times New Roman"/>
          <w:szCs w:val="18"/>
          <w:highlight w:val="white"/>
        </w:rPr>
      </w:pPr>
      <w:r>
        <w:rPr>
          <w:rStyle w:val="af3"/>
          <w:rFonts w:ascii="Times New Roman" w:eastAsia="Times New Roman" w:hAnsi="Times New Roman" w:cs="Times New Roman"/>
          <w:szCs w:val="18"/>
          <w:highlight w:val="white"/>
        </w:rPr>
        <w:footnoteRef/>
      </w:r>
      <w:r>
        <w:rPr>
          <w:rFonts w:ascii="Times New Roman" w:eastAsia="Times New Roman" w:hAnsi="Times New Roman" w:cs="Times New Roman"/>
          <w:szCs w:val="18"/>
          <w:highlight w:val="white"/>
        </w:rPr>
        <w:t xml:space="preserve"> если иное не предусмотрено проектом решения/решением УОБ ГО.</w:t>
      </w:r>
    </w:p>
  </w:footnote>
  <w:footnote w:id="3">
    <w:p w:rsidR="008E774E" w:rsidRDefault="00F7701E">
      <w:pPr>
        <w:pStyle w:val="af1"/>
        <w:jc w:val="both"/>
        <w:rPr>
          <w:rFonts w:ascii="Times New Roman" w:hAnsi="Times New Roman" w:cs="Times New Roman"/>
          <w:szCs w:val="18"/>
          <w:highlight w:val="white"/>
        </w:rPr>
      </w:pPr>
      <w:r>
        <w:rPr>
          <w:rStyle w:val="af3"/>
          <w:rFonts w:ascii="Times New Roman" w:eastAsia="Times New Roman" w:hAnsi="Times New Roman" w:cs="Times New Roman"/>
          <w:szCs w:val="18"/>
          <w:highlight w:val="white"/>
        </w:rPr>
        <w:footnoteRef/>
      </w:r>
      <w:r>
        <w:rPr>
          <w:rStyle w:val="af3"/>
          <w:rFonts w:ascii="Times New Roman" w:eastAsia="Times New Roman" w:hAnsi="Times New Roman" w:cs="Times New Roman"/>
          <w:szCs w:val="1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Cs w:val="18"/>
          <w:highlight w:val="white"/>
        </w:rPr>
        <w:t xml:space="preserve">здесь и далее по тексту термин </w:t>
      </w:r>
      <w:r>
        <w:rPr>
          <w:rFonts w:ascii="Times New Roman" w:eastAsia="Times New Roman" w:hAnsi="Times New Roman" w:cs="Times New Roman"/>
          <w:szCs w:val="18"/>
          <w:highlight w:val="white"/>
        </w:rPr>
        <w:t xml:space="preserve">«с учетом индивидуального подхода» предполагает формирование КФО ГСК «в ручном режиме» с учетом экспертного подхода к анализу, предоставленных Клиентом данных финансовой отчетности и/или иной </w:t>
      </w:r>
      <w:proofErr w:type="gramStart"/>
      <w:r>
        <w:rPr>
          <w:rFonts w:ascii="Times New Roman" w:eastAsia="Times New Roman" w:hAnsi="Times New Roman" w:cs="Times New Roman"/>
          <w:szCs w:val="18"/>
          <w:highlight w:val="white"/>
        </w:rPr>
        <w:t>информации,  учитываемых</w:t>
      </w:r>
      <w:proofErr w:type="gramEnd"/>
      <w:r>
        <w:rPr>
          <w:rFonts w:ascii="Times New Roman" w:eastAsia="Times New Roman" w:hAnsi="Times New Roman" w:cs="Times New Roman"/>
          <w:szCs w:val="18"/>
          <w:highlight w:val="white"/>
        </w:rPr>
        <w:t xml:space="preserve"> для целей формирования КФО ГСК.</w:t>
      </w:r>
    </w:p>
  </w:footnote>
  <w:footnote w:id="4">
    <w:p w:rsidR="008E774E" w:rsidRDefault="00F7701E">
      <w:pPr>
        <w:pStyle w:val="af1"/>
        <w:jc w:val="both"/>
        <w:rPr>
          <w:rFonts w:ascii="Times New Roman" w:hAnsi="Times New Roman" w:cs="Times New Roman"/>
        </w:rPr>
      </w:pPr>
      <w:r>
        <w:rPr>
          <w:rStyle w:val="af3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</w:rPr>
        <w:t>в том</w:t>
      </w:r>
      <w:r>
        <w:rPr>
          <w:rFonts w:ascii="Times New Roman" w:eastAsia="Times New Roman" w:hAnsi="Times New Roman" w:cs="Times New Roman"/>
        </w:rPr>
        <w:t xml:space="preserve"> числе компании, формирующие </w:t>
      </w:r>
      <w:proofErr w:type="gramStart"/>
      <w:r>
        <w:rPr>
          <w:rFonts w:ascii="Times New Roman" w:eastAsia="Times New Roman" w:hAnsi="Times New Roman" w:cs="Times New Roman"/>
        </w:rPr>
        <w:t>финансовую( бухгалтерскую</w:t>
      </w:r>
      <w:proofErr w:type="gramEnd"/>
      <w:r>
        <w:rPr>
          <w:rFonts w:ascii="Times New Roman" w:eastAsia="Times New Roman" w:hAnsi="Times New Roman" w:cs="Times New Roman"/>
        </w:rPr>
        <w:t>) отчетность в рамках требований и подходов МСФО.</w:t>
      </w:r>
    </w:p>
  </w:footnote>
  <w:footnote w:id="5">
    <w:p w:rsidR="008E774E" w:rsidRDefault="00F7701E">
      <w:pPr>
        <w:pStyle w:val="af1"/>
        <w:jc w:val="both"/>
        <w:rPr>
          <w:rFonts w:ascii="Times New Roman" w:hAnsi="Times New Roman" w:cs="Times New Roman"/>
          <w:szCs w:val="18"/>
          <w:highlight w:val="white"/>
        </w:rPr>
      </w:pPr>
      <w:r>
        <w:rPr>
          <w:rStyle w:val="af3"/>
          <w:rFonts w:ascii="Times New Roman" w:eastAsia="Times New Roman" w:hAnsi="Times New Roman" w:cs="Times New Roman"/>
          <w:szCs w:val="18"/>
          <w:highlight w:val="white"/>
        </w:rPr>
        <w:footnoteRef/>
      </w:r>
      <w:r>
        <w:rPr>
          <w:rFonts w:ascii="Times New Roman" w:eastAsia="Times New Roman" w:hAnsi="Times New Roman" w:cs="Times New Roman"/>
          <w:szCs w:val="18"/>
          <w:highlight w:val="white"/>
        </w:rPr>
        <w:t>установленная периодичность формирования КФО ГКС согласно требованиям внутренних документов Банка и/или решению Уполномоченного органа Банка</w:t>
      </w:r>
    </w:p>
  </w:footnote>
  <w:footnote w:id="6">
    <w:p w:rsidR="008E774E" w:rsidRDefault="00F7701E">
      <w:pPr>
        <w:pStyle w:val="af1"/>
        <w:jc w:val="both"/>
        <w:rPr>
          <w:rFonts w:ascii="Times New Roman" w:hAnsi="Times New Roman" w:cs="Times New Roman"/>
          <w:szCs w:val="18"/>
        </w:rPr>
      </w:pPr>
      <w:r>
        <w:rPr>
          <w:rStyle w:val="af3"/>
          <w:rFonts w:ascii="Times New Roman" w:eastAsia="Times New Roman" w:hAnsi="Times New Roman" w:cs="Times New Roman"/>
        </w:rPr>
        <w:footnoteRef/>
      </w:r>
      <w:r>
        <w:rPr>
          <w:rFonts w:ascii="Times New Roman" w:eastAsia="Times New Roman" w:hAnsi="Times New Roman" w:cs="Times New Roman"/>
          <w:szCs w:val="18"/>
        </w:rPr>
        <w:t xml:space="preserve"> в целях </w:t>
      </w:r>
      <w:r>
        <w:rPr>
          <w:rFonts w:ascii="Times New Roman" w:eastAsia="Times New Roman" w:hAnsi="Times New Roman" w:cs="Times New Roman"/>
          <w:szCs w:val="18"/>
        </w:rPr>
        <w:t xml:space="preserve">корректного проведения исключений взаимных расчетов по всем компаниям ГСК, рекомендуется представление ОСВ за период аналогичный представленной отчетности   в едином формате – за базовый </w:t>
      </w:r>
      <w:proofErr w:type="gramStart"/>
      <w:r>
        <w:rPr>
          <w:rFonts w:ascii="Times New Roman" w:eastAsia="Times New Roman" w:hAnsi="Times New Roman" w:cs="Times New Roman"/>
          <w:szCs w:val="18"/>
        </w:rPr>
        <w:t>формат  предоставления</w:t>
      </w:r>
      <w:proofErr w:type="gramEnd"/>
      <w:r>
        <w:rPr>
          <w:rFonts w:ascii="Times New Roman" w:eastAsia="Times New Roman" w:hAnsi="Times New Roman" w:cs="Times New Roman"/>
          <w:szCs w:val="18"/>
        </w:rPr>
        <w:t xml:space="preserve"> определяется предоставление данных нарастающим</w:t>
      </w:r>
      <w:r>
        <w:rPr>
          <w:rFonts w:ascii="Times New Roman" w:eastAsia="Times New Roman" w:hAnsi="Times New Roman" w:cs="Times New Roman"/>
          <w:szCs w:val="18"/>
        </w:rPr>
        <w:t xml:space="preserve"> итогом, при невозможности или отказе Клиента, могут быть использованы данные за анализируемый период в поквартальном варианте. </w:t>
      </w:r>
      <w:r>
        <w:rPr>
          <w:rFonts w:ascii="Times New Roman" w:eastAsia="Times New Roman" w:hAnsi="Times New Roman" w:cs="Times New Roman"/>
          <w:szCs w:val="18"/>
          <w:highlight w:val="white"/>
        </w:rPr>
        <w:t xml:space="preserve">ОСВ по счетам, </w:t>
      </w:r>
      <w:proofErr w:type="gramStart"/>
      <w:r>
        <w:rPr>
          <w:rFonts w:ascii="Times New Roman" w:eastAsia="Times New Roman" w:hAnsi="Times New Roman" w:cs="Times New Roman"/>
          <w:szCs w:val="18"/>
          <w:highlight w:val="white"/>
        </w:rPr>
        <w:t>представляются  с</w:t>
      </w:r>
      <w:proofErr w:type="gramEnd"/>
      <w:r>
        <w:rPr>
          <w:rFonts w:ascii="Times New Roman" w:eastAsia="Times New Roman" w:hAnsi="Times New Roman" w:cs="Times New Roman"/>
          <w:szCs w:val="18"/>
          <w:highlight w:val="white"/>
        </w:rPr>
        <w:t xml:space="preserve"> субконто «Контрагенты», в рамках которого определяется наличие в ОСВ каждой компании ГСК для по</w:t>
      </w:r>
      <w:r>
        <w:rPr>
          <w:rFonts w:ascii="Times New Roman" w:eastAsia="Times New Roman" w:hAnsi="Times New Roman" w:cs="Times New Roman"/>
          <w:szCs w:val="18"/>
          <w:highlight w:val="white"/>
        </w:rPr>
        <w:t xml:space="preserve">следующего исключения взаимных оборотов. Идентификационным признаком выбора является </w:t>
      </w:r>
      <w:proofErr w:type="gramStart"/>
      <w:r>
        <w:rPr>
          <w:rFonts w:ascii="Times New Roman" w:eastAsia="Times New Roman" w:hAnsi="Times New Roman" w:cs="Times New Roman"/>
          <w:szCs w:val="18"/>
          <w:highlight w:val="white"/>
        </w:rPr>
        <w:t>наименование  и</w:t>
      </w:r>
      <w:proofErr w:type="gramEnd"/>
      <w:r>
        <w:rPr>
          <w:rFonts w:ascii="Times New Roman" w:eastAsia="Times New Roman" w:hAnsi="Times New Roman" w:cs="Times New Roman"/>
          <w:szCs w:val="18"/>
          <w:highlight w:val="white"/>
        </w:rPr>
        <w:t>/или  ИНН ( при наличии информации в ОСВ).</w:t>
      </w:r>
    </w:p>
  </w:footnote>
  <w:footnote w:id="7">
    <w:p w:rsidR="008E774E" w:rsidRDefault="00F7701E">
      <w:pPr>
        <w:pStyle w:val="af1"/>
        <w:jc w:val="both"/>
        <w:rPr>
          <w:rFonts w:ascii="Times New Roman" w:hAnsi="Times New Roman" w:cs="Times New Roman"/>
          <w:szCs w:val="18"/>
        </w:rPr>
      </w:pPr>
      <w:r>
        <w:rPr>
          <w:rStyle w:val="af3"/>
          <w:rFonts w:ascii="Times New Roman" w:eastAsia="Times New Roman" w:hAnsi="Times New Roman" w:cs="Times New Roman"/>
        </w:rPr>
        <w:footnoteRef/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zCs w:val="18"/>
        </w:rPr>
        <w:t xml:space="preserve">перечисленные в настоящем пункте </w:t>
      </w:r>
      <w:proofErr w:type="gramStart"/>
      <w:r>
        <w:rPr>
          <w:rFonts w:ascii="Times New Roman" w:eastAsia="Times New Roman" w:hAnsi="Times New Roman" w:cs="Times New Roman"/>
          <w:szCs w:val="18"/>
        </w:rPr>
        <w:t>ОСВ  так</w:t>
      </w:r>
      <w:proofErr w:type="gramEnd"/>
      <w:r>
        <w:rPr>
          <w:rFonts w:ascii="Times New Roman" w:eastAsia="Times New Roman" w:hAnsi="Times New Roman" w:cs="Times New Roman"/>
          <w:szCs w:val="18"/>
        </w:rPr>
        <w:t xml:space="preserve"> же представляются в Банк  Клиентами, не </w:t>
      </w:r>
      <w:r>
        <w:rPr>
          <w:rFonts w:ascii="Times New Roman" w:eastAsia="Times New Roman" w:hAnsi="Times New Roman" w:cs="Times New Roman"/>
          <w:szCs w:val="18"/>
        </w:rPr>
        <w:t xml:space="preserve">осуществляющих ведение </w:t>
      </w:r>
      <w:r>
        <w:rPr>
          <w:rFonts w:ascii="Times New Roman" w:eastAsia="Times New Roman" w:hAnsi="Times New Roman" w:cs="Times New Roman"/>
          <w:szCs w:val="18"/>
        </w:rPr>
        <w:t xml:space="preserve">бухгалтерского учета, позволяющих составлять отчетность в соответствии с форматами, утвержденными </w:t>
      </w:r>
      <w:r>
        <w:rPr>
          <w:rFonts w:ascii="Times New Roman" w:eastAsia="Times New Roman" w:hAnsi="Times New Roman" w:cs="Times New Roman"/>
          <w:szCs w:val="18"/>
        </w:rPr>
        <w:t>Приказом МФ РФ 157н</w:t>
      </w:r>
      <w:r>
        <w:rPr>
          <w:rFonts w:ascii="Times New Roman" w:eastAsia="Times New Roman" w:hAnsi="Times New Roman" w:cs="Times New Roman"/>
          <w:szCs w:val="18"/>
        </w:rPr>
        <w:t>,но имеющих техническую возможность используемых систем для их формирования.</w:t>
      </w:r>
    </w:p>
  </w:footnote>
  <w:footnote w:id="8">
    <w:p w:rsidR="008E774E" w:rsidRDefault="00F7701E">
      <w:pPr>
        <w:pStyle w:val="af1"/>
        <w:jc w:val="both"/>
        <w:rPr>
          <w:rFonts w:ascii="Times New Roman" w:hAnsi="Times New Roman" w:cs="Times New Roman"/>
        </w:rPr>
      </w:pPr>
      <w:r>
        <w:rPr>
          <w:rStyle w:val="af3"/>
          <w:rFonts w:ascii="Times New Roman" w:eastAsia="Times New Roman" w:hAnsi="Times New Roman" w:cs="Times New Roman"/>
        </w:rPr>
        <w:footnoteRef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Cs w:val="18"/>
          <w:highlight w:val="white"/>
        </w:rPr>
        <w:t xml:space="preserve">дополнительно к ОСВ по счету 02 (Амортизация) целесообразно </w:t>
      </w:r>
      <w:proofErr w:type="gramStart"/>
      <w:r>
        <w:rPr>
          <w:rFonts w:ascii="Times New Roman" w:eastAsia="Times New Roman" w:hAnsi="Times New Roman" w:cs="Times New Roman"/>
          <w:color w:val="000000"/>
          <w:szCs w:val="18"/>
          <w:highlight w:val="white"/>
        </w:rPr>
        <w:t>предусмотреть  предоставление</w:t>
      </w:r>
      <w:proofErr w:type="gramEnd"/>
      <w:r>
        <w:rPr>
          <w:rFonts w:ascii="Times New Roman" w:eastAsia="Times New Roman" w:hAnsi="Times New Roman" w:cs="Times New Roman"/>
          <w:color w:val="000000"/>
          <w:szCs w:val="18"/>
          <w:highlight w:val="white"/>
        </w:rPr>
        <w:t xml:space="preserve"> справки клиента о сумме амортизации, включенной в состав себестоимости по Отчету о финансовых результатах (ОФР), с выделением амортизации по предметам лизинга и ППА (права пользования активом).</w:t>
      </w:r>
    </w:p>
  </w:footnote>
  <w:footnote w:id="9">
    <w:p w:rsidR="008E774E" w:rsidRDefault="00F7701E">
      <w:pPr>
        <w:pStyle w:val="af1"/>
        <w:jc w:val="both"/>
        <w:rPr>
          <w:rFonts w:ascii="Times New Roman" w:hAnsi="Times New Roman" w:cs="Times New Roman"/>
          <w:szCs w:val="18"/>
        </w:rPr>
      </w:pPr>
      <w:r>
        <w:rPr>
          <w:rStyle w:val="af3"/>
          <w:rFonts w:ascii="Times New Roman" w:eastAsia="Times New Roman" w:hAnsi="Times New Roman" w:cs="Times New Roman"/>
          <w:szCs w:val="18"/>
        </w:rPr>
        <w:footnoteRef/>
      </w:r>
      <w:r>
        <w:rPr>
          <w:rFonts w:ascii="Times New Roman" w:eastAsia="Times New Roman" w:hAnsi="Times New Roman" w:cs="Times New Roman"/>
          <w:szCs w:val="18"/>
        </w:rPr>
        <w:t xml:space="preserve">  в отношении счетов 44,26,90 и</w:t>
      </w:r>
      <w:r>
        <w:rPr>
          <w:rFonts w:ascii="Times New Roman" w:eastAsia="Times New Roman" w:hAnsi="Times New Roman" w:cs="Times New Roman"/>
          <w:szCs w:val="18"/>
        </w:rPr>
        <w:t xml:space="preserve"> 91 рекомендуется так же </w:t>
      </w:r>
      <w:proofErr w:type="gramStart"/>
      <w:r>
        <w:rPr>
          <w:rFonts w:ascii="Times New Roman" w:eastAsia="Times New Roman" w:hAnsi="Times New Roman" w:cs="Times New Roman"/>
          <w:szCs w:val="18"/>
        </w:rPr>
        <w:t>использовать  карточки</w:t>
      </w:r>
      <w:proofErr w:type="gramEnd"/>
      <w:r>
        <w:rPr>
          <w:rFonts w:ascii="Times New Roman" w:eastAsia="Times New Roman" w:hAnsi="Times New Roman" w:cs="Times New Roman"/>
          <w:szCs w:val="18"/>
        </w:rPr>
        <w:t xml:space="preserve"> счета.</w:t>
      </w:r>
    </w:p>
  </w:footnote>
  <w:footnote w:id="10">
    <w:p w:rsidR="008E774E" w:rsidRDefault="00F7701E">
      <w:pPr>
        <w:pStyle w:val="af1"/>
        <w:jc w:val="both"/>
        <w:rPr>
          <w:rFonts w:ascii="Times New Roman" w:hAnsi="Times New Roman" w:cs="Times New Roman"/>
          <w:szCs w:val="18"/>
        </w:rPr>
      </w:pPr>
      <w:r>
        <w:rPr>
          <w:rStyle w:val="af3"/>
          <w:rFonts w:ascii="Times New Roman" w:eastAsia="Times New Roman" w:hAnsi="Times New Roman" w:cs="Times New Roman"/>
          <w:szCs w:val="18"/>
        </w:rPr>
        <w:footnoteRef/>
      </w:r>
      <w:r>
        <w:rPr>
          <w:rStyle w:val="af3"/>
          <w:rFonts w:ascii="Times New Roman" w:eastAsia="Times New Roman" w:hAnsi="Times New Roman" w:cs="Times New Roman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Cs w:val="18"/>
        </w:rPr>
        <w:t>перечень  представляемых</w:t>
      </w:r>
      <w:proofErr w:type="gramEnd"/>
      <w:r>
        <w:rPr>
          <w:rFonts w:ascii="Times New Roman" w:eastAsia="Times New Roman" w:hAnsi="Times New Roman" w:cs="Times New Roman"/>
          <w:szCs w:val="18"/>
        </w:rPr>
        <w:t xml:space="preserve"> компаниями ГСК ОСВ по счетам балансового/</w:t>
      </w:r>
      <w:proofErr w:type="spellStart"/>
      <w:r>
        <w:rPr>
          <w:rFonts w:ascii="Times New Roman" w:eastAsia="Times New Roman" w:hAnsi="Times New Roman" w:cs="Times New Roman"/>
          <w:szCs w:val="18"/>
        </w:rPr>
        <w:t>забалансового</w:t>
      </w:r>
      <w:proofErr w:type="spellEnd"/>
      <w:r>
        <w:rPr>
          <w:rFonts w:ascii="Times New Roman" w:eastAsia="Times New Roman" w:hAnsi="Times New Roman" w:cs="Times New Roman"/>
          <w:szCs w:val="18"/>
        </w:rPr>
        <w:t xml:space="preserve"> учета определяется и обосновывается Банком исходя </w:t>
      </w:r>
      <w:r>
        <w:rPr>
          <w:rFonts w:ascii="Times New Roman" w:eastAsia="Times New Roman" w:hAnsi="Times New Roman" w:cs="Times New Roman"/>
          <w:szCs w:val="18"/>
          <w:highlight w:val="white"/>
        </w:rPr>
        <w:t>из наличия указанных счетов в отчетности каждой компании в составе ГС</w:t>
      </w:r>
      <w:r>
        <w:rPr>
          <w:rFonts w:ascii="Times New Roman" w:eastAsia="Times New Roman" w:hAnsi="Times New Roman" w:cs="Times New Roman"/>
          <w:szCs w:val="18"/>
          <w:highlight w:val="white"/>
        </w:rPr>
        <w:t>К.</w:t>
      </w:r>
    </w:p>
  </w:footnote>
  <w:footnote w:id="11">
    <w:p w:rsidR="008E774E" w:rsidRDefault="00F7701E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f3"/>
          <w:rFonts w:ascii="Times New Roman" w:eastAsia="Times New Roman" w:hAnsi="Times New Roman" w:cs="Times New Roman"/>
          <w:sz w:val="18"/>
          <w:szCs w:val="18"/>
        </w:rPr>
        <w:footnoteRef/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при необходимости  формирования  расшифровок статей КФО ГСК в части наличия взаимных требований/обязательств  по отдельным компаниям ГСК, Банком  дополнительно могут быть запрошены ОСВ по следующим счетам: 04(Нематериальные активы), 05(Амортизация нем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атериальных активов), 07(Оборудование к установке), 10(Сырье и материалы), 20(Основное производство), 21 (Полуфабрикаты собственного производства), 41(Товары), 43(Готовая продукция), 68(Расчеты по налогам и сборам), 69(Расчеты по социальному страхованию и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обеспечению), 70(Расчеты с персоналом по оплате труда), 79(Внутрихозяйственные расчеты),86(Целевое финансирование). </w:t>
      </w:r>
    </w:p>
  </w:footnote>
  <w:footnote w:id="12">
    <w:p w:rsidR="008E774E" w:rsidRDefault="00F7701E">
      <w:pPr>
        <w:pStyle w:val="af1"/>
      </w:pPr>
      <w:r>
        <w:rPr>
          <w:rStyle w:val="af3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</w:rPr>
        <w:t xml:space="preserve"> в том числе, указанные в п. 4.1 настоящей Методики.</w:t>
      </w:r>
    </w:p>
  </w:footnote>
  <w:footnote w:id="13">
    <w:p w:rsidR="008E774E" w:rsidRDefault="00F7701E">
      <w:pPr>
        <w:pStyle w:val="af1"/>
        <w:spacing w:after="0"/>
        <w:jc w:val="both"/>
        <w:rPr>
          <w:rFonts w:ascii="Times New Roman" w:hAnsi="Times New Roman" w:cs="Times New Roman"/>
        </w:rPr>
      </w:pPr>
      <w:r>
        <w:rPr>
          <w:rStyle w:val="af3"/>
          <w:rFonts w:ascii="Times New Roman" w:eastAsia="Times New Roman" w:hAnsi="Times New Roman" w:cs="Times New Roman"/>
        </w:rPr>
        <w:footnoteRef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Cs w:val="18"/>
          <w:highlight w:val="white"/>
        </w:rPr>
        <w:t>до момента автоматизации процесса построения КФО ГСК, поря</w:t>
      </w:r>
      <w:r>
        <w:rPr>
          <w:rFonts w:ascii="Times New Roman" w:eastAsia="Times New Roman" w:hAnsi="Times New Roman" w:cs="Times New Roman"/>
          <w:szCs w:val="18"/>
          <w:highlight w:val="white"/>
        </w:rPr>
        <w:t xml:space="preserve">док выполнения </w:t>
      </w:r>
      <w:proofErr w:type="gramStart"/>
      <w:r>
        <w:rPr>
          <w:rFonts w:ascii="Times New Roman" w:eastAsia="Times New Roman" w:hAnsi="Times New Roman" w:cs="Times New Roman"/>
          <w:szCs w:val="18"/>
          <w:highlight w:val="white"/>
        </w:rPr>
        <w:t>формирования  КФО</w:t>
      </w:r>
      <w:proofErr w:type="gramEnd"/>
      <w:r>
        <w:rPr>
          <w:rFonts w:ascii="Times New Roman" w:eastAsia="Times New Roman" w:hAnsi="Times New Roman" w:cs="Times New Roman"/>
          <w:szCs w:val="18"/>
          <w:highlight w:val="white"/>
        </w:rPr>
        <w:t xml:space="preserve"> ГСК (последовательное  или  одновременное (параллельное) суммирование показателей    бухгалтерской отчетности компаний ГСК)  и используемые  инструменты (программы) определяются для каждого конкретного случая индивидуально.</w:t>
      </w:r>
    </w:p>
  </w:footnote>
  <w:footnote w:id="14">
    <w:p w:rsidR="008E774E" w:rsidRDefault="00F770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f3"/>
          <w:rFonts w:ascii="Times New Roman" w:eastAsia="Times New Roman" w:hAnsi="Times New Roman" w:cs="Times New Roman"/>
          <w:sz w:val="18"/>
          <w:szCs w:val="18"/>
        </w:rPr>
        <w:footnoteRef/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Размер процента расхождения рассчитывается относительно наименьшего из значений соответствующей статьи КФО ГСК, сформированной Банком/Клиентом.</w:t>
      </w:r>
    </w:p>
  </w:footnote>
  <w:footnote w:id="15">
    <w:p w:rsidR="008E774E" w:rsidRDefault="00F7701E">
      <w:pPr>
        <w:pStyle w:val="af1"/>
        <w:jc w:val="both"/>
        <w:rPr>
          <w:rFonts w:ascii="Times New Roman" w:hAnsi="Times New Roman" w:cs="Times New Roman"/>
          <w:bCs/>
          <w:i/>
          <w:szCs w:val="18"/>
        </w:rPr>
      </w:pPr>
      <w:r>
        <w:rPr>
          <w:rStyle w:val="af3"/>
          <w:rFonts w:ascii="Times New Roman" w:eastAsia="Times New Roman" w:hAnsi="Times New Roman" w:cs="Times New Roman"/>
          <w:szCs w:val="18"/>
        </w:rPr>
        <w:footnoteRef/>
      </w:r>
      <w:r>
        <w:rPr>
          <w:rFonts w:ascii="Times New Roman" w:eastAsia="Times New Roman" w:hAnsi="Times New Roman" w:cs="Times New Roman"/>
          <w:i/>
          <w:iCs/>
          <w:szCs w:val="18"/>
        </w:rPr>
        <w:t xml:space="preserve"> </w:t>
      </w:r>
      <w:r>
        <w:rPr>
          <w:rFonts w:ascii="Times New Roman" w:eastAsia="Times New Roman" w:hAnsi="Times New Roman" w:cs="Times New Roman"/>
          <w:szCs w:val="18"/>
        </w:rPr>
        <w:t xml:space="preserve"> Необходимо указать, что КФО ГСК сформирована с учетом </w:t>
      </w:r>
      <w:proofErr w:type="gramStart"/>
      <w:r>
        <w:rPr>
          <w:rFonts w:ascii="Times New Roman" w:eastAsia="Times New Roman" w:hAnsi="Times New Roman" w:cs="Times New Roman"/>
          <w:szCs w:val="18"/>
        </w:rPr>
        <w:t>требований  Методики</w:t>
      </w:r>
      <w:proofErr w:type="gramEnd"/>
      <w:r>
        <w:rPr>
          <w:rFonts w:ascii="Times New Roman" w:eastAsia="Times New Roman" w:hAnsi="Times New Roman" w:cs="Times New Roman"/>
          <w:szCs w:val="18"/>
        </w:rPr>
        <w:t xml:space="preserve"> / с применением «индивидуальных</w:t>
      </w:r>
      <w:r>
        <w:rPr>
          <w:rFonts w:ascii="Times New Roman" w:eastAsia="Times New Roman" w:hAnsi="Times New Roman" w:cs="Times New Roman"/>
          <w:szCs w:val="18"/>
        </w:rPr>
        <w:t xml:space="preserve"> подходов» и/или принята </w:t>
      </w:r>
      <w:proofErr w:type="spellStart"/>
      <w:r>
        <w:rPr>
          <w:rFonts w:ascii="Times New Roman" w:eastAsia="Times New Roman" w:hAnsi="Times New Roman" w:cs="Times New Roman"/>
          <w:szCs w:val="18"/>
        </w:rPr>
        <w:t>аудированная</w:t>
      </w:r>
      <w:proofErr w:type="spellEnd"/>
      <w:r>
        <w:rPr>
          <w:rFonts w:ascii="Times New Roman" w:eastAsia="Times New Roman" w:hAnsi="Times New Roman" w:cs="Times New Roman"/>
          <w:szCs w:val="18"/>
        </w:rPr>
        <w:t xml:space="preserve"> отчетность РСБУ/МСФО Клиента/ГК.</w:t>
      </w:r>
    </w:p>
  </w:footnote>
  <w:footnote w:id="16">
    <w:p w:rsidR="008E774E" w:rsidRDefault="00F7701E">
      <w:pPr>
        <w:pStyle w:val="af1"/>
        <w:jc w:val="both"/>
        <w:rPr>
          <w:rFonts w:ascii="Times New Roman" w:hAnsi="Times New Roman" w:cs="Times New Roman"/>
          <w:szCs w:val="18"/>
        </w:rPr>
      </w:pPr>
      <w:r>
        <w:rPr>
          <w:rStyle w:val="af3"/>
        </w:rPr>
        <w:footnoteRef/>
      </w:r>
      <w:r>
        <w:rPr>
          <w:rFonts w:ascii="Times New Roman" w:eastAsia="Times New Roman" w:hAnsi="Times New Roman" w:cs="Times New Roman"/>
          <w:szCs w:val="18"/>
        </w:rPr>
        <w:t xml:space="preserve"> допускается </w:t>
      </w:r>
      <w:r>
        <w:rPr>
          <w:rFonts w:ascii="Times New Roman" w:eastAsia="Times New Roman" w:hAnsi="Times New Roman" w:cs="Times New Roman"/>
          <w:color w:val="000000"/>
          <w:szCs w:val="18"/>
          <w:highlight w:val="white"/>
        </w:rPr>
        <w:t>подход к составлению консолидированного ОФР, при котором исключение внутригрупповых операций(оборотов) доходов/ расходов возможно осуществлять на уровне выручки/ себестоим</w:t>
      </w:r>
      <w:r>
        <w:rPr>
          <w:rFonts w:ascii="Times New Roman" w:eastAsia="Times New Roman" w:hAnsi="Times New Roman" w:cs="Times New Roman"/>
          <w:color w:val="000000"/>
          <w:szCs w:val="18"/>
          <w:highlight w:val="white"/>
        </w:rPr>
        <w:t xml:space="preserve">ости (без разнесения по строкам коммерческие/ управленческие расходы, прочие доходы/ расходы), в случае если всеми компаниями ГСК не предоставлены расшифровки, позволяющие исключить внутригрупповые обороты на уровне Коммерческих/ Управленческих расходов. </w:t>
      </w:r>
    </w:p>
  </w:footnote>
  <w:footnote w:id="17">
    <w:p w:rsidR="008E774E" w:rsidRDefault="00F7701E">
      <w:pPr>
        <w:pStyle w:val="af1"/>
      </w:pPr>
      <w:r>
        <w:rPr>
          <w:rStyle w:val="af3"/>
        </w:rPr>
        <w:footnoteRef/>
      </w:r>
      <w:r>
        <w:t xml:space="preserve">  </w:t>
      </w:r>
      <w:r>
        <w:rPr>
          <w:rFonts w:ascii="Times New Roman" w:eastAsia="Times New Roman" w:hAnsi="Times New Roman" w:cs="Times New Roman"/>
        </w:rPr>
        <w:t>учет счета 76 для комиссионеров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739B"/>
    <w:multiLevelType w:val="hybridMultilevel"/>
    <w:tmpl w:val="8820ACAE"/>
    <w:lvl w:ilvl="0" w:tplc="0F5ECC1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170A3E0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B9ADEC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C7ABF3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7E074A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E6EC9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9CA9D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F109FA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2561A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B22509D"/>
    <w:multiLevelType w:val="hybridMultilevel"/>
    <w:tmpl w:val="A68490EA"/>
    <w:lvl w:ilvl="0" w:tplc="C9DC79DC">
      <w:start w:val="1"/>
      <w:numFmt w:val="bullet"/>
      <w:lvlText w:val="ü"/>
      <w:lvlJc w:val="left"/>
      <w:pPr>
        <w:ind w:left="1417" w:hanging="360"/>
      </w:pPr>
      <w:rPr>
        <w:rFonts w:ascii="Wingdings" w:eastAsia="Wingdings" w:hAnsi="Wingdings" w:cs="Wingdings"/>
      </w:rPr>
    </w:lvl>
    <w:lvl w:ilvl="1" w:tplc="928C6B40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07E88950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25105DA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594880F0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FB5CC37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D34C8058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2E8E507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2880D6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1D00909"/>
    <w:multiLevelType w:val="hybridMultilevel"/>
    <w:tmpl w:val="9808F0AA"/>
    <w:lvl w:ilvl="0" w:tplc="294CD224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28B85F7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2685B0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C42AF4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6763B6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CFD2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FD226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466CF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81A304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5C27363"/>
    <w:multiLevelType w:val="hybridMultilevel"/>
    <w:tmpl w:val="FDE027C8"/>
    <w:lvl w:ilvl="0" w:tplc="80C0E074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775EAC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9C4936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C823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1C2476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B56777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33656A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F68844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A7AE3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18AF3445"/>
    <w:multiLevelType w:val="hybridMultilevel"/>
    <w:tmpl w:val="E7C05BA6"/>
    <w:lvl w:ilvl="0" w:tplc="66DA201A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FCEA44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7C0C8C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9E828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CEC97F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BBC2C7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4B261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9B422E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41EA97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19C008C5"/>
    <w:multiLevelType w:val="hybridMultilevel"/>
    <w:tmpl w:val="5CE42B1C"/>
    <w:lvl w:ilvl="0" w:tplc="20A2504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770432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710D3E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33C2C9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8E6A1A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FFCD12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8628A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7FC81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AE0784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22A9546F"/>
    <w:multiLevelType w:val="hybridMultilevel"/>
    <w:tmpl w:val="DFE01C0C"/>
    <w:lvl w:ilvl="0" w:tplc="61600DA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1362F4F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9808C3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EA62A6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CE4606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CE2391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7E06BD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9B8A3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422B5F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23F227BD"/>
    <w:multiLevelType w:val="hybridMultilevel"/>
    <w:tmpl w:val="7592FBF2"/>
    <w:lvl w:ilvl="0" w:tplc="267CBBAE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966291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AA823B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FE00AD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3E8E81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FAC061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E56082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77A472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380831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2564276F"/>
    <w:multiLevelType w:val="hybridMultilevel"/>
    <w:tmpl w:val="EC8A05E0"/>
    <w:lvl w:ilvl="0" w:tplc="C56E9B7E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D9AC41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E02CC5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25075C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8E602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D66B76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310B14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16EFF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9F8591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330504A0"/>
    <w:multiLevelType w:val="hybridMultilevel"/>
    <w:tmpl w:val="23E2E324"/>
    <w:lvl w:ilvl="0" w:tplc="8A4C189E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D2B8794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FD8F23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33202B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B3C41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716E0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824F5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448CD0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F78B34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3732298C"/>
    <w:multiLevelType w:val="multilevel"/>
    <w:tmpl w:val="20BA0AE6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lvlText w:val="%1.%2.%3."/>
      <w:lvlJc w:val="left"/>
      <w:pPr>
        <w:ind w:left="1573" w:hanging="504"/>
      </w:pPr>
    </w:lvl>
    <w:lvl w:ilvl="3">
      <w:start w:val="1"/>
      <w:numFmt w:val="decimal"/>
      <w:lvlText w:val="%1.%2.%3.%4."/>
      <w:lvlJc w:val="left"/>
      <w:pPr>
        <w:ind w:left="2077" w:hanging="648"/>
      </w:pPr>
    </w:lvl>
    <w:lvl w:ilvl="4">
      <w:start w:val="1"/>
      <w:numFmt w:val="decimal"/>
      <w:lvlText w:val="%1.%2.%3.%4.%5."/>
      <w:lvlJc w:val="left"/>
      <w:pPr>
        <w:ind w:left="2581" w:hanging="792"/>
      </w:pPr>
    </w:lvl>
    <w:lvl w:ilvl="5">
      <w:start w:val="1"/>
      <w:numFmt w:val="decimal"/>
      <w:lvlText w:val="%1.%2.%3.%4.%5.%6."/>
      <w:lvlJc w:val="left"/>
      <w:pPr>
        <w:ind w:left="3085" w:hanging="936"/>
      </w:pPr>
    </w:lvl>
    <w:lvl w:ilvl="6">
      <w:start w:val="1"/>
      <w:numFmt w:val="decimal"/>
      <w:lvlText w:val="%1.%2.%3.%4.%5.%6.%7."/>
      <w:lvlJc w:val="left"/>
      <w:pPr>
        <w:ind w:left="3589" w:hanging="1080"/>
      </w:pPr>
    </w:lvl>
    <w:lvl w:ilvl="7">
      <w:start w:val="1"/>
      <w:numFmt w:val="decimal"/>
      <w:lvlText w:val="%1.%2.%3.%4.%5.%6.%7.%8."/>
      <w:lvlJc w:val="left"/>
      <w:pPr>
        <w:ind w:left="4093" w:hanging="1224"/>
      </w:pPr>
    </w:lvl>
    <w:lvl w:ilvl="8">
      <w:start w:val="1"/>
      <w:numFmt w:val="decimal"/>
      <w:lvlText w:val="%1.%2.%3.%4.%5.%6.%7.%8.%9."/>
      <w:lvlJc w:val="left"/>
      <w:pPr>
        <w:ind w:left="4669" w:hanging="1440"/>
      </w:pPr>
    </w:lvl>
  </w:abstractNum>
  <w:abstractNum w:abstractNumId="11" w15:restartNumberingAfterBreak="0">
    <w:nsid w:val="456A272F"/>
    <w:multiLevelType w:val="hybridMultilevel"/>
    <w:tmpl w:val="0120A600"/>
    <w:lvl w:ilvl="0" w:tplc="BF5A5AD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6C64A2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0CE9A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B58AE9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CFE62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6FA75E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BFEB04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C8493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67C568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47026A22"/>
    <w:multiLevelType w:val="hybridMultilevel"/>
    <w:tmpl w:val="E0966790"/>
    <w:lvl w:ilvl="0" w:tplc="5618611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F602616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B5E0EC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926280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61C8BA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6680AA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80745CA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4745FB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0B2414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4FF534EC"/>
    <w:multiLevelType w:val="hybridMultilevel"/>
    <w:tmpl w:val="1520BC2A"/>
    <w:lvl w:ilvl="0" w:tplc="350A0EE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47CCBB2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524EA6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ACC95C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FF2D59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FF6842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DA2F8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CCA78A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1328DC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51E756BF"/>
    <w:multiLevelType w:val="hybridMultilevel"/>
    <w:tmpl w:val="6B1A5944"/>
    <w:lvl w:ilvl="0" w:tplc="1E6802A0">
      <w:start w:val="1"/>
      <w:numFmt w:val="decimal"/>
      <w:lvlText w:val="%1."/>
      <w:lvlJc w:val="left"/>
      <w:pPr>
        <w:ind w:left="720" w:hanging="360"/>
      </w:pPr>
    </w:lvl>
    <w:lvl w:ilvl="1" w:tplc="2480A022">
      <w:start w:val="1"/>
      <w:numFmt w:val="lowerLetter"/>
      <w:lvlText w:val="%2."/>
      <w:lvlJc w:val="left"/>
      <w:pPr>
        <w:ind w:left="1440" w:hanging="360"/>
      </w:pPr>
    </w:lvl>
    <w:lvl w:ilvl="2" w:tplc="BD0AD02A">
      <w:start w:val="1"/>
      <w:numFmt w:val="lowerRoman"/>
      <w:lvlText w:val="%3."/>
      <w:lvlJc w:val="right"/>
      <w:pPr>
        <w:ind w:left="2160" w:hanging="180"/>
      </w:pPr>
    </w:lvl>
    <w:lvl w:ilvl="3" w:tplc="51907622">
      <w:start w:val="1"/>
      <w:numFmt w:val="decimal"/>
      <w:lvlText w:val="%4."/>
      <w:lvlJc w:val="left"/>
      <w:pPr>
        <w:ind w:left="2880" w:hanging="360"/>
      </w:pPr>
    </w:lvl>
    <w:lvl w:ilvl="4" w:tplc="50B22342">
      <w:start w:val="1"/>
      <w:numFmt w:val="lowerLetter"/>
      <w:lvlText w:val="%5."/>
      <w:lvlJc w:val="left"/>
      <w:pPr>
        <w:ind w:left="3600" w:hanging="360"/>
      </w:pPr>
    </w:lvl>
    <w:lvl w:ilvl="5" w:tplc="14904566">
      <w:start w:val="1"/>
      <w:numFmt w:val="lowerRoman"/>
      <w:lvlText w:val="%6."/>
      <w:lvlJc w:val="right"/>
      <w:pPr>
        <w:ind w:left="4320" w:hanging="180"/>
      </w:pPr>
    </w:lvl>
    <w:lvl w:ilvl="6" w:tplc="EE62D39C">
      <w:start w:val="1"/>
      <w:numFmt w:val="decimal"/>
      <w:lvlText w:val="%7."/>
      <w:lvlJc w:val="left"/>
      <w:pPr>
        <w:ind w:left="5040" w:hanging="360"/>
      </w:pPr>
    </w:lvl>
    <w:lvl w:ilvl="7" w:tplc="ABEE4730">
      <w:start w:val="1"/>
      <w:numFmt w:val="lowerLetter"/>
      <w:lvlText w:val="%8."/>
      <w:lvlJc w:val="left"/>
      <w:pPr>
        <w:ind w:left="5760" w:hanging="360"/>
      </w:pPr>
    </w:lvl>
    <w:lvl w:ilvl="8" w:tplc="7CC4F8F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E53F07"/>
    <w:multiLevelType w:val="hybridMultilevel"/>
    <w:tmpl w:val="4FF6F532"/>
    <w:lvl w:ilvl="0" w:tplc="2A2C3AA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D3F8564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2C4D5D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8B85B5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4B8C64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95A9E4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C8070B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E82FFB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982119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55E875FA"/>
    <w:multiLevelType w:val="hybridMultilevel"/>
    <w:tmpl w:val="993C05F8"/>
    <w:lvl w:ilvl="0" w:tplc="7272DEE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03A4FF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DC2A93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170472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4A02C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FA89A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68E56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ED4E24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E90E59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561C2F98"/>
    <w:multiLevelType w:val="hybridMultilevel"/>
    <w:tmpl w:val="2CA4130A"/>
    <w:lvl w:ilvl="0" w:tplc="E79E4164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11A67DD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B4EA1C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E9483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FE98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75C920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842733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A5EDF5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9C655F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5625162C"/>
    <w:multiLevelType w:val="hybridMultilevel"/>
    <w:tmpl w:val="A4C0C20C"/>
    <w:lvl w:ilvl="0" w:tplc="EEA827B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1536F5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406C1C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59CC8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F1E75D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172B73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D801FD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65A08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19C9BB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5782706C"/>
    <w:multiLevelType w:val="hybridMultilevel"/>
    <w:tmpl w:val="5B2C1848"/>
    <w:lvl w:ilvl="0" w:tplc="07A8249E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1BB2C1A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D98038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428ACB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F883FD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0FAAF1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85ABF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0083DB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C46016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5FAF0232"/>
    <w:multiLevelType w:val="hybridMultilevel"/>
    <w:tmpl w:val="AE26714C"/>
    <w:lvl w:ilvl="0" w:tplc="C980CB1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6F2A3BC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E9804B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AB6911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30482F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3AA7C8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456690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2D634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698E47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61105FFC"/>
    <w:multiLevelType w:val="hybridMultilevel"/>
    <w:tmpl w:val="3F644EF4"/>
    <w:lvl w:ilvl="0" w:tplc="802EF0E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CA26C0D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E1C13C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9806AF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9FE5ED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F048B7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C2213F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5B408E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AB2E44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66B63125"/>
    <w:multiLevelType w:val="hybridMultilevel"/>
    <w:tmpl w:val="406015AA"/>
    <w:lvl w:ilvl="0" w:tplc="66AAEB2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7728B67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4669FE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0A65D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19A39D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EA218B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EB4F99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232D07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F5A023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66BD3D0D"/>
    <w:multiLevelType w:val="hybridMultilevel"/>
    <w:tmpl w:val="B3A42BC4"/>
    <w:lvl w:ilvl="0" w:tplc="7BF03BF4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60AE861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CB0C19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CD47DD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A1E39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812650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36E63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9525F7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24C17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6711486A"/>
    <w:multiLevelType w:val="hybridMultilevel"/>
    <w:tmpl w:val="7EAAB84A"/>
    <w:lvl w:ilvl="0" w:tplc="8E92DB2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D3FAAB7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F1CA3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B9253B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CD65AE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DA0A1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5581C9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4EE9E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0608C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 w15:restartNumberingAfterBreak="0">
    <w:nsid w:val="69BC29F0"/>
    <w:multiLevelType w:val="hybridMultilevel"/>
    <w:tmpl w:val="18B678D8"/>
    <w:lvl w:ilvl="0" w:tplc="767A872E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7AFC8A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716A22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A62171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37CE4E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598908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F1C973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77A94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032CA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6" w15:restartNumberingAfterBreak="0">
    <w:nsid w:val="6C973BFE"/>
    <w:multiLevelType w:val="hybridMultilevel"/>
    <w:tmpl w:val="69D0BBDC"/>
    <w:lvl w:ilvl="0" w:tplc="917A6A06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D938F69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4D2C96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D62CD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5E950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C8E09D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494D67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2BEF4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E82B8E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 w15:restartNumberingAfterBreak="0">
    <w:nsid w:val="731E0701"/>
    <w:multiLevelType w:val="hybridMultilevel"/>
    <w:tmpl w:val="E3387E44"/>
    <w:lvl w:ilvl="0" w:tplc="8BBC183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376A50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AC097F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99428B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D0EDA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A0CC3A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50A4D4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1166DE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65E008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8" w15:restartNumberingAfterBreak="0">
    <w:nsid w:val="761F5147"/>
    <w:multiLevelType w:val="hybridMultilevel"/>
    <w:tmpl w:val="A4585FEE"/>
    <w:lvl w:ilvl="0" w:tplc="A52E6A8A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940C276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260482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CA4C52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83CB4C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B3A62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258F18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A1042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99CE8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" w15:restartNumberingAfterBreak="0">
    <w:nsid w:val="768D640E"/>
    <w:multiLevelType w:val="hybridMultilevel"/>
    <w:tmpl w:val="7E90B944"/>
    <w:lvl w:ilvl="0" w:tplc="00EA590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87A0AF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D6813D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F227AF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C0CF0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27892B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D56687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B72553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7C03A4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0" w15:restartNumberingAfterBreak="0">
    <w:nsid w:val="7D6F677B"/>
    <w:multiLevelType w:val="hybridMultilevel"/>
    <w:tmpl w:val="459864C2"/>
    <w:lvl w:ilvl="0" w:tplc="E7E01C7A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FDB0D06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534BC4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7322C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B18A8D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C408ED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F66B94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3F851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BD86ED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14"/>
  </w:num>
  <w:num w:numId="3">
    <w:abstractNumId w:val="10"/>
  </w:num>
  <w:num w:numId="4">
    <w:abstractNumId w:val="13"/>
  </w:num>
  <w:num w:numId="5">
    <w:abstractNumId w:val="9"/>
  </w:num>
  <w:num w:numId="6">
    <w:abstractNumId w:val="15"/>
  </w:num>
  <w:num w:numId="7">
    <w:abstractNumId w:val="22"/>
  </w:num>
  <w:num w:numId="8">
    <w:abstractNumId w:val="20"/>
  </w:num>
  <w:num w:numId="9">
    <w:abstractNumId w:val="29"/>
  </w:num>
  <w:num w:numId="10">
    <w:abstractNumId w:val="27"/>
  </w:num>
  <w:num w:numId="11">
    <w:abstractNumId w:val="19"/>
  </w:num>
  <w:num w:numId="12">
    <w:abstractNumId w:val="24"/>
  </w:num>
  <w:num w:numId="13">
    <w:abstractNumId w:val="8"/>
  </w:num>
  <w:num w:numId="14">
    <w:abstractNumId w:val="3"/>
  </w:num>
  <w:num w:numId="15">
    <w:abstractNumId w:val="25"/>
  </w:num>
  <w:num w:numId="16">
    <w:abstractNumId w:val="21"/>
  </w:num>
  <w:num w:numId="17">
    <w:abstractNumId w:val="5"/>
  </w:num>
  <w:num w:numId="18">
    <w:abstractNumId w:val="26"/>
  </w:num>
  <w:num w:numId="19">
    <w:abstractNumId w:val="30"/>
  </w:num>
  <w:num w:numId="20">
    <w:abstractNumId w:val="23"/>
  </w:num>
  <w:num w:numId="21">
    <w:abstractNumId w:val="2"/>
  </w:num>
  <w:num w:numId="22">
    <w:abstractNumId w:val="18"/>
  </w:num>
  <w:num w:numId="23">
    <w:abstractNumId w:val="4"/>
  </w:num>
  <w:num w:numId="24">
    <w:abstractNumId w:val="7"/>
  </w:num>
  <w:num w:numId="25">
    <w:abstractNumId w:val="6"/>
  </w:num>
  <w:num w:numId="26">
    <w:abstractNumId w:val="11"/>
  </w:num>
  <w:num w:numId="27">
    <w:abstractNumId w:val="17"/>
  </w:num>
  <w:num w:numId="28">
    <w:abstractNumId w:val="12"/>
  </w:num>
  <w:num w:numId="29">
    <w:abstractNumId w:val="16"/>
  </w:num>
  <w:num w:numId="30">
    <w:abstractNumId w:val="28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74E"/>
    <w:rsid w:val="008E774E"/>
    <w:rsid w:val="00DC1036"/>
    <w:rsid w:val="00F7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4CB0CB-A400-4113-AD0B-3D646A48D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310">
    <w:name w:val="Основной текст с отступом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92">
    <w:name w:val="Стиль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num" w:pos="1418"/>
      </w:tabs>
      <w:spacing w:before="120" w:after="0" w:line="240" w:lineRule="auto"/>
      <w:ind w:firstLine="851"/>
      <w:jc w:val="both"/>
      <w:outlineLvl w:val="2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stat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-disclosure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ankrot.fedresurs.ru/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5114</Words>
  <Characters>29154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RSHB</Company>
  <LinksUpToDate>false</LinksUpToDate>
  <CharactersWithSpaces>34200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Кирпа Сергей Михайлович</dc:creator>
  <cp:lastModifiedBy>Кирпа Сергей Михайлович</cp:lastModifiedBy>
  <cp:revision>2</cp:revision>
  <dcterms:created xsi:type="dcterms:W3CDTF">2026-03-11T12:07:00Z</dcterms:created>
  <dcterms:modified xsi:type="dcterms:W3CDTF">2026-03-11T12:07:00Z</dcterms:modified>
</cp:coreProperties>
</file>